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rPr>
      </w:pPr>
      <w:r>
        <w:rPr>
          <w:rFonts w:hint="eastAsia" w:ascii="黑体" w:hAnsi="黑体" w:eastAsia="黑体" w:cs="宋体"/>
          <w:color w:val="333333"/>
          <w:sz w:val="32"/>
          <w:szCs w:val="32"/>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伊犁州特克斯县商务和工业信息化局部门单位整体支出绩效自评报告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both"/>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p>
    <w:p>
      <w:pPr>
        <w:spacing w:line="700" w:lineRule="exact"/>
        <w:jc w:val="center"/>
        <w:rPr>
          <w:rFonts w:hint="eastAsia" w:hAnsi="宋体" w:eastAsia="仿宋_GB2312" w:cs="宋体"/>
          <w:kern w:val="0"/>
          <w:sz w:val="36"/>
          <w:szCs w:val="36"/>
        </w:rPr>
      </w:pPr>
      <w:r>
        <w:rPr>
          <w:rFonts w:hint="eastAsia" w:hAnsi="宋体" w:eastAsia="仿宋_GB2312" w:cs="宋体"/>
          <w:kern w:val="0"/>
          <w:sz w:val="36"/>
          <w:szCs w:val="36"/>
        </w:rPr>
        <w:t>部门单位名称（公章）：特克斯县商务和工业信息化局</w:t>
      </w:r>
    </w:p>
    <w:p>
      <w:pPr>
        <w:spacing w:line="700" w:lineRule="exact"/>
        <w:jc w:val="center"/>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年4月28日</w:t>
      </w:r>
    </w:p>
    <w:p>
      <w:pPr>
        <w:pStyle w:val="3"/>
        <w:spacing w:line="360" w:lineRule="auto"/>
        <w:rPr>
          <w:rFonts w:ascii="仿宋" w:hAnsi="仿宋" w:eastAsia="仿宋"/>
          <w:sz w:val="36"/>
          <w:szCs w:val="36"/>
        </w:rPr>
      </w:pPr>
      <w:bookmarkStart w:id="1" w:name="_Toc70450289"/>
      <w:r>
        <w:rPr>
          <w:rFonts w:hint="eastAsia" w:ascii="仿宋" w:hAnsi="仿宋" w:eastAsia="仿宋"/>
          <w:sz w:val="36"/>
          <w:szCs w:val="36"/>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rPr>
          <w:rStyle w:val="16"/>
          <w:rFonts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spacing w:line="360" w:lineRule="auto"/>
        <w:ind w:firstLine="544" w:firstLineChars="200"/>
        <w:rPr>
          <w:rStyle w:val="16"/>
          <w:rFonts w:hint="eastAsia" w:ascii="仿宋_GB2312" w:hAnsi="楷体" w:eastAsia="仿宋_GB2312"/>
          <w:b w:val="0"/>
          <w:spacing w:val="-4"/>
          <w:sz w:val="28"/>
          <w:szCs w:val="28"/>
        </w:rPr>
      </w:pPr>
      <w:bookmarkStart w:id="4" w:name="_Toc70450292"/>
      <w:r>
        <w:rPr>
          <w:rStyle w:val="16"/>
          <w:rFonts w:hint="eastAsia" w:ascii="仿宋_GB2312" w:hAnsi="楷体" w:eastAsia="仿宋_GB2312"/>
          <w:b w:val="0"/>
          <w:spacing w:val="-4"/>
          <w:sz w:val="28"/>
          <w:szCs w:val="28"/>
        </w:rPr>
        <w:t>1.贯彻执行上级有关商务流通、工业信息化、招商引资方面的法律、法规和方针政策；制定实施符合特克斯县实际的商务流通、工业信息化、招商引资计划。</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监测分析特克斯县工业经济运行态势；统计并发布相关信息，进行预测预警和信息指导；协调解决工业经济运行中的重大问题并提出政策建议；负责协调生产要素供应保障等重大问题；协调落实寄递行业安全管理相关政策法规措施；负责产业安全有关工作。</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3.贯彻上级行业专项规划、行业法规、技术规范和标准；负责盐业行业管理；负责企业园区建设管理工作；负责冶金、有色金属、黄金、稀土、轻工、纺织、机电、建材等行业管理。</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4.负责组织、协调招商引资活动；完善招商引资服务体系；负责招商引资信息的收集、分析、发布等工作；负责招商引资统计工作；组织和服务企业参加各类会展。</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5.贯彻上级有关工业和信息化技术改造投资的政策措施；研究和规划技术改造项目投资方向和布局；负责推进信息化工作，负责企业信息化和信息技术的推广应用工作，推进企业信息化和工业化深度融合；统筹指导智慧城市、服务业信息化、电子商务、物联网产业发展管理工作。</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6.负责重要消费品市场调控和重要生产资料流通管理；参与建立健全生活必需品市场供应应急管理；参与监测分析市场运行、商品供求状况，并进行预测预警和市场调控；监管成品油零售环节。</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7.贯彻执行规范市场运行、流通秩序的政策，推动商务领域信用建设；按有关规定对特殊流通行业进行监督管理</w:t>
      </w:r>
      <w:r>
        <w:rPr>
          <w:rStyle w:val="16"/>
          <w:rFonts w:hint="eastAsia" w:ascii="仿宋_GB2312" w:hAnsi="楷体" w:eastAsia="仿宋_GB2312"/>
          <w:b w:val="0"/>
          <w:spacing w:val="-4"/>
          <w:sz w:val="28"/>
          <w:szCs w:val="28"/>
          <w:lang w:eastAsia="zh-CN"/>
        </w:rPr>
        <w:t>。</w:t>
      </w:r>
    </w:p>
    <w:p>
      <w:pPr>
        <w:pStyle w:val="5"/>
        <w:spacing w:line="360" w:lineRule="auto"/>
        <w:ind w:firstLine="562" w:firstLineChars="200"/>
        <w:rPr>
          <w:rStyle w:val="16"/>
          <w:rFonts w:ascii="仿宋" w:hAnsi="仿宋" w:eastAsia="仿宋"/>
          <w:b/>
          <w:bCs/>
        </w:rPr>
      </w:pPr>
      <w:r>
        <w:rPr>
          <w:rStyle w:val="16"/>
          <w:rFonts w:hint="eastAsia" w:ascii="仿宋" w:hAnsi="仿宋" w:eastAsia="仿宋"/>
          <w:b/>
          <w:bCs/>
        </w:rPr>
        <w:t>2、机构人员构成</w:t>
      </w:r>
      <w:bookmarkEnd w:id="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（1）组织机构设置：</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特克斯县商务和工业信息化局无下属预算单位，下设2个处室，分别是：办公室，综合业务科。</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（2）2021年特克斯县商务和工业信息化局实有在职人员为23人，其中：</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行政在职16人（上年15人），同比上年增加1人</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与上年一致；</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事业在职7人（上年3人），同比上年增加4人；</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实有离休人员0人（上年0人）,同比上年与上年一致。</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实有退休人员26人（上年26人）,同比上年与上年一致。</w:t>
      </w:r>
      <w:bookmarkStart w:id="5" w:name="_Toc70450293"/>
    </w:p>
    <w:p>
      <w:pPr>
        <w:spacing w:line="360" w:lineRule="auto"/>
        <w:ind w:firstLine="562" w:firstLineChars="200"/>
        <w:rPr>
          <w:rStyle w:val="16"/>
          <w:rFonts w:ascii="仿宋" w:hAnsi="仿宋" w:eastAsia="仿宋"/>
          <w:b w:val="0"/>
          <w:bCs w:val="0"/>
          <w:sz w:val="28"/>
          <w:szCs w:val="28"/>
        </w:rPr>
      </w:pPr>
      <w:r>
        <w:rPr>
          <w:rStyle w:val="16"/>
          <w:rFonts w:ascii="仿宋" w:hAnsi="仿宋" w:eastAsia="仿宋"/>
          <w:sz w:val="28"/>
          <w:szCs w:val="28"/>
        </w:rPr>
        <w:t>3</w:t>
      </w:r>
      <w:r>
        <w:rPr>
          <w:rStyle w:val="16"/>
          <w:rFonts w:hint="eastAsia" w:ascii="仿宋" w:hAnsi="仿宋" w:eastAsia="仿宋"/>
          <w:sz w:val="28"/>
          <w:szCs w:val="28"/>
        </w:rPr>
        <w:t>、重点工作计划</w:t>
      </w:r>
      <w:bookmarkEnd w:id="5"/>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1、招商引资完成情况。2021年我县招商引资目标任务是25亿元，截止2021年11月20日（全年统计数据已截止）完成到位资金27.6亿元，州直排名第四，超出目标任务2.6亿元，超额完成全年目标任务10%。其中：在建项目37个（亿元以上项目21个），总投资122.34亿元。其中博故图金矿项目、温德姆花园酒店建设项目2个5亿元以上项目，总投资11.5亿元，现已完成投资5.8亿元；新建项目共18个，总投资15.06亿元，今年计划投资7.94亿元，现已完成投资8.1亿元，续建项目共19个，总投资107.28亿元，今年计划投资12.74亿元，现已完成投资19.46亿元。</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外贸进出口额完成情况。特克斯县2021年外贸进出口目标任务750万美元，1-10月，完成外贸出口800万元，完成目标任务的106.7%，已提前完成全年目标任务。力争年内完成外贸进出口900万美元，超目标任务150万美元，超额完成全年任务20%。</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3、社会消费品零售总额情况。2021年特克斯县社会消费品零售总额目标任务13亿元，1-9月完成社会消费品零售总额9.5338亿元（州直排名第三），完成全年目标任务的73%，同比增长30.5%。其中：1-10月可完成限上社会消费品零售总额1.1519亿元，同比增长70.8%。今年新培育迈博药业、企业莹辉药业两家企业拉动社消零快速增长。</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4、规模以上工业工业增加值情况。2021年我县规模以上工业增加值任务2.56亿元，增速12.2%。后期调整为工业增加值2.5亿元，增速8%。1-10月规模以上工业企业完成产值5.36亿元，同比增长38.1%，实现工业增加值2.43亿元，完成年度目标任务的95.7%，同比增长23.3%。经测算11月底，可完成产值6.1亿元，工业增加值2.69亿元，完成全年任务的102%。力争全年完成6.5亿元，工业增加值2.76亿元，超额完成全年任务10%，鼎力商砼产值已达到2600万元。</w:t>
      </w:r>
    </w:p>
    <w:p>
      <w:pPr>
        <w:pStyle w:val="4"/>
        <w:spacing w:line="360" w:lineRule="auto"/>
        <w:ind w:firstLine="551" w:firstLineChars="196"/>
        <w:rPr>
          <w:rStyle w:val="16"/>
          <w:rFonts w:ascii="仿宋" w:hAnsi="仿宋" w:eastAsia="仿宋"/>
          <w:b/>
          <w:bCs/>
          <w:sz w:val="28"/>
          <w:szCs w:val="28"/>
        </w:rPr>
      </w:pPr>
      <w:bookmarkStart w:id="6" w:name="_Toc70450294"/>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ascii="仿宋" w:hAnsi="仿宋" w:eastAsia="仿宋"/>
          <w:b/>
          <w:bCs/>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2021年批复我单位预算为370.5万元，其中：财政拨款为370.5万元，年中追加资金157.54万元，调整率73.98%。对比上年844.46万元减少473.96万元，下降56.</w:t>
      </w:r>
      <w:r>
        <w:rPr>
          <w:rStyle w:val="16"/>
          <w:rFonts w:hint="eastAsia" w:ascii="仿宋_GB2312" w:hAnsi="楷体" w:eastAsia="仿宋_GB2312"/>
          <w:b w:val="0"/>
          <w:spacing w:val="-4"/>
          <w:sz w:val="28"/>
          <w:szCs w:val="28"/>
          <w:lang w:val="en-US" w:eastAsia="zh-CN"/>
        </w:rPr>
        <w:t>13</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2021年实际决算支出370.5万元，执行率1</w:t>
      </w:r>
      <w:r>
        <w:rPr>
          <w:rStyle w:val="16"/>
          <w:rFonts w:hint="eastAsia" w:ascii="仿宋_GB2312" w:hAnsi="楷体" w:eastAsia="仿宋_GB2312"/>
          <w:b w:val="0"/>
          <w:spacing w:val="-4"/>
          <w:sz w:val="28"/>
          <w:szCs w:val="28"/>
          <w:lang w:val="en-US" w:eastAsia="zh-CN"/>
        </w:rPr>
        <w:t>00</w:t>
      </w:r>
      <w:r>
        <w:rPr>
          <w:rStyle w:val="16"/>
          <w:rFonts w:hint="eastAsia" w:ascii="仿宋_GB2312" w:hAnsi="楷体" w:eastAsia="仿宋_GB2312"/>
          <w:b w:val="0"/>
          <w:spacing w:val="-4"/>
          <w:sz w:val="28"/>
          <w:szCs w:val="28"/>
        </w:rPr>
        <w:t>%，其中：</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基本支出370.5万元，占总支出的100％，主要用于本单位机构正常运转、完成日常工作任务而发生的各项支出。其中：工资福利支出323.3万元，主要用于在职和离退休人员基本工资、津贴补贴等人员经费。商品和服务支出38.94万元，主要用于办公费、印刷费、水电费、办公设备购置等。对个人和家庭的补助6.26万元，主要用于</w:t>
      </w:r>
      <w:r>
        <w:rPr>
          <w:rStyle w:val="16"/>
          <w:rFonts w:hint="eastAsia" w:ascii="仿宋_GB2312" w:hAnsi="楷体" w:eastAsia="仿宋_GB2312"/>
          <w:b w:val="0"/>
          <w:spacing w:val="-4"/>
          <w:sz w:val="28"/>
          <w:szCs w:val="28"/>
          <w:highlight w:val="none"/>
          <w:lang w:val="en-US" w:eastAsia="zh-CN"/>
        </w:rPr>
        <w:t>南疆支教补助和遗属补助</w:t>
      </w:r>
      <w:r>
        <w:rPr>
          <w:rStyle w:val="16"/>
          <w:rFonts w:hint="eastAsia" w:ascii="仿宋_GB2312" w:hAnsi="楷体" w:eastAsia="仿宋_GB2312"/>
          <w:b w:val="0"/>
          <w:spacing w:val="-4"/>
          <w:sz w:val="28"/>
          <w:szCs w:val="28"/>
          <w:highlight w:val="none"/>
        </w:rPr>
        <w:t>。对企业补助支出2万元，主要用于外贸企业资金</w:t>
      </w:r>
      <w:r>
        <w:rPr>
          <w:rStyle w:val="16"/>
          <w:rFonts w:hint="eastAsia" w:ascii="仿宋_GB2312" w:hAnsi="楷体" w:eastAsia="仿宋_GB2312"/>
          <w:b w:val="0"/>
          <w:spacing w:val="-4"/>
          <w:sz w:val="28"/>
          <w:szCs w:val="28"/>
        </w:rPr>
        <w:t xml:space="preserve">补助。 </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）项目支出0万元，占总支出的0％。</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3</w:t>
      </w:r>
      <w:r>
        <w:rPr>
          <w:rStyle w:val="16"/>
          <w:rFonts w:hint="eastAsia" w:ascii="仿宋_GB2312" w:hAnsi="楷体" w:eastAsia="仿宋_GB2312"/>
          <w:b w:val="0"/>
          <w:spacing w:val="-4"/>
          <w:sz w:val="28"/>
          <w:szCs w:val="28"/>
        </w:rPr>
        <w:t>）本年度重点项目支出0万元，重点支出保障率0%。</w:t>
      </w:r>
    </w:p>
    <w:p>
      <w:pPr>
        <w:spacing w:line="360" w:lineRule="auto"/>
        <w:ind w:firstLine="544" w:firstLineChars="200"/>
        <w:rPr>
          <w:rStyle w:val="16"/>
          <w:rFonts w:ascii="仿宋_GB2312" w:hAnsi="楷体" w:eastAsia="仿宋_GB2312"/>
          <w:b w:val="0"/>
          <w:spacing w:val="-4"/>
          <w:sz w:val="32"/>
          <w:szCs w:val="32"/>
        </w:rPr>
      </w:pPr>
      <w:r>
        <w:rPr>
          <w:rStyle w:val="16"/>
          <w:rFonts w:hint="eastAsia" w:ascii="仿宋_GB2312" w:hAnsi="楷体" w:eastAsia="仿宋_GB2312"/>
          <w:b w:val="0"/>
          <w:spacing w:val="-4"/>
          <w:sz w:val="28"/>
          <w:szCs w:val="28"/>
        </w:rPr>
        <w:t>（4）本年度我单位无政府采购预算。</w:t>
      </w:r>
    </w:p>
    <w:p>
      <w:pPr>
        <w:pStyle w:val="5"/>
        <w:spacing w:line="360" w:lineRule="auto"/>
        <w:ind w:firstLine="562" w:firstLineChars="200"/>
        <w:rPr>
          <w:rStyle w:val="16"/>
          <w:rFonts w:ascii="仿宋" w:hAnsi="仿宋" w:eastAsia="仿宋"/>
          <w:b/>
          <w:bCs/>
        </w:rPr>
      </w:pPr>
      <w:bookmarkStart w:id="9" w:name="_Toc70450296"/>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spacing w:line="360" w:lineRule="auto"/>
        <w:ind w:firstLine="560" w:firstLineChars="200"/>
        <w:rPr>
          <w:rStyle w:val="16"/>
          <w:rFonts w:ascii="仿宋_GB2312" w:eastAsia="仿宋_GB2312"/>
          <w:b w:val="0"/>
          <w:bCs w:val="0"/>
          <w:sz w:val="28"/>
          <w:szCs w:val="36"/>
        </w:rPr>
      </w:pPr>
      <w:r>
        <w:rPr>
          <w:rFonts w:hint="eastAsia" w:ascii="仿宋_GB2312" w:eastAsia="仿宋_GB2312"/>
          <w:sz w:val="28"/>
          <w:szCs w:val="36"/>
        </w:rPr>
        <w:t>（1）</w:t>
      </w:r>
      <w:r>
        <w:rPr>
          <w:rStyle w:val="16"/>
          <w:rFonts w:hint="eastAsia" w:ascii="仿宋_GB2312" w:eastAsia="仿宋_GB2312"/>
          <w:b w:val="0"/>
          <w:bCs w:val="0"/>
          <w:sz w:val="28"/>
          <w:szCs w:val="36"/>
        </w:rPr>
        <w:t>整体支出评价使用方法</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本次单位整体支出绩效自评采用因素分析法方法，原因是：本单位因有项目所以要综合分析影响整体绩效目标的因素，分析单位整体绩效实施效果的内外因素。</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hint="eastAsia" w:ascii="仿宋_GB2312" w:eastAsia="仿宋_GB2312"/>
          <w:sz w:val="28"/>
          <w:szCs w:val="36"/>
        </w:rPr>
        <w:instrText xml:space="preserve">= 1 \* GB3</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hint="eastAsia" w:ascii="仿宋_GB2312" w:eastAsia="仿宋_GB2312"/>
          <w:sz w:val="28"/>
          <w:szCs w:val="36"/>
        </w:rPr>
        <w:instrText xml:space="preserve">= 2 \* GB3</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hint="eastAsia" w:ascii="仿宋_GB2312" w:eastAsia="仿宋_GB2312"/>
          <w:sz w:val="28"/>
          <w:szCs w:val="36"/>
        </w:rPr>
        <w:instrText xml:space="preserve">= 3 \* GB3</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6"/>
          <w:rFonts w:ascii="仿宋_GB2312" w:eastAsia="仿宋_GB2312"/>
          <w:b w:val="0"/>
          <w:bCs w:val="0"/>
          <w:sz w:val="28"/>
          <w:szCs w:val="36"/>
        </w:rPr>
      </w:pPr>
      <w:r>
        <w:rPr>
          <w:rFonts w:ascii="仿宋_GB2312" w:eastAsia="仿宋_GB2312"/>
          <w:sz w:val="28"/>
          <w:szCs w:val="36"/>
        </w:rPr>
        <w:fldChar w:fldCharType="begin"/>
      </w:r>
      <w:r>
        <w:rPr>
          <w:rFonts w:hint="eastAsia" w:ascii="仿宋_GB2312" w:eastAsia="仿宋_GB2312"/>
          <w:sz w:val="28"/>
          <w:szCs w:val="36"/>
        </w:rPr>
        <w:instrText xml:space="preserve">= 4 \* GB3</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（3）整体支出评价涉及对象及范围</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涉及对象：</w:t>
      </w:r>
      <w:r>
        <w:rPr>
          <w:rFonts w:hint="eastAsia" w:ascii="仿宋_GB2312" w:eastAsia="仿宋_GB2312"/>
          <w:sz w:val="28"/>
          <w:szCs w:val="36"/>
        </w:rPr>
        <w:t>本次评价对象是特克斯县商务和工业信息化局所有财政资金支出活动。</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整体支出评价范围：</w:t>
      </w:r>
    </w:p>
    <w:p>
      <w:pPr>
        <w:spacing w:line="360" w:lineRule="auto"/>
        <w:ind w:firstLine="544" w:firstLineChars="200"/>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1 \* GB3</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基本支出370.5万元，其中：工资福利支出、商品和服务支出、对个人和家庭的补助支出、对企业补助。</w:t>
      </w:r>
    </w:p>
    <w:p>
      <w:pPr>
        <w:spacing w:line="360" w:lineRule="auto"/>
        <w:ind w:firstLine="492" w:firstLineChars="181"/>
        <w:rPr>
          <w:rStyle w:val="16"/>
          <w:rFonts w:hint="eastAsia" w:ascii="仿宋_GB2312" w:hAnsi="楷体" w:eastAsia="仿宋_GB2312"/>
          <w:b w:val="0"/>
          <w:spacing w:val="-4"/>
          <w:sz w:val="28"/>
          <w:szCs w:val="28"/>
          <w:lang w:eastAsia="zh-CN"/>
        </w:rPr>
      </w:pPr>
      <w:r>
        <w:rPr>
          <w:rStyle w:val="16"/>
          <w:rFonts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2 \* GB3</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项目支出 0万元</w:t>
      </w:r>
      <w:r>
        <w:rPr>
          <w:rStyle w:val="16"/>
          <w:rFonts w:hint="eastAsia" w:ascii="仿宋_GB2312" w:hAnsi="楷体" w:eastAsia="仿宋_GB2312"/>
          <w:b w:val="0"/>
          <w:spacing w:val="-4"/>
          <w:sz w:val="28"/>
          <w:szCs w:val="28"/>
          <w:lang w:eastAsia="zh-CN"/>
        </w:rPr>
        <w:t>。</w:t>
      </w:r>
    </w:p>
    <w:p>
      <w:pPr>
        <w:spacing w:line="360" w:lineRule="auto"/>
        <w:ind w:firstLine="544" w:firstLineChars="200"/>
        <w:rPr>
          <w:rStyle w:val="16"/>
          <w:rFonts w:ascii="仿宋_GB2312" w:hAnsi="楷体" w:eastAsia="仿宋_GB2312"/>
          <w:b w:val="0"/>
          <w:spacing w:val="-4"/>
          <w:sz w:val="28"/>
          <w:szCs w:val="28"/>
        </w:rPr>
      </w:pPr>
    </w:p>
    <w:p>
      <w:pPr>
        <w:pStyle w:val="3"/>
        <w:spacing w:line="360" w:lineRule="auto"/>
        <w:rPr>
          <w:rFonts w:ascii="仿宋" w:hAnsi="仿宋" w:eastAsia="仿宋"/>
          <w:sz w:val="36"/>
          <w:szCs w:val="36"/>
        </w:rPr>
      </w:pPr>
      <w:bookmarkStart w:id="10" w:name="_Toc70450297"/>
      <w:r>
        <w:rPr>
          <w:rFonts w:hint="eastAsia" w:ascii="仿宋" w:hAnsi="仿宋" w:eastAsia="仿宋"/>
          <w:sz w:val="36"/>
          <w:szCs w:val="36"/>
        </w:rPr>
        <w:t>二、部门单位整体支出管理及使用情况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506" w:firstLineChars="181"/>
        <w:rPr>
          <w:rStyle w:val="16"/>
          <w:rFonts w:asciiTheme="minorEastAsia" w:hAnsiTheme="minorEastAsia"/>
          <w:color w:val="FF0000"/>
          <w:spacing w:val="-4"/>
          <w:sz w:val="28"/>
          <w:szCs w:val="28"/>
        </w:rPr>
      </w:pPr>
      <w:r>
        <w:rPr>
          <w:rFonts w:hint="eastAsia" w:ascii="仿宋_GB2312" w:eastAsia="仿宋_GB2312"/>
          <w:sz w:val="28"/>
          <w:szCs w:val="36"/>
        </w:rPr>
        <w:t>我单位严格按照财政部门预算编制与预算调整的工作要求，在预算编制、分配依据充分的条件下，切实做好“先定目标再编预算”，确保预算分配结果合理。同时按照县财政要求，部门预算及绩效目标在特克斯县政府网站公开，</w:t>
      </w:r>
      <w:r>
        <w:rPr>
          <w:rFonts w:ascii="仿宋_GB2312" w:eastAsia="仿宋_GB2312"/>
          <w:sz w:val="28"/>
          <w:szCs w:val="36"/>
          <w:lang w:val="zh-CN"/>
        </w:rPr>
        <w:t>广泛接受社会监督</w:t>
      </w:r>
      <w:r>
        <w:rPr>
          <w:rFonts w:hint="eastAsia" w:ascii="仿宋_GB2312" w:eastAsia="仿宋_GB2312"/>
          <w:sz w:val="28"/>
          <w:szCs w:val="36"/>
          <w:lang w:val="zh-CN"/>
        </w:rPr>
        <w:t>。</w:t>
      </w:r>
    </w:p>
    <w:p>
      <w:pPr>
        <w:pStyle w:val="5"/>
        <w:spacing w:line="360" w:lineRule="auto"/>
        <w:ind w:firstLine="562" w:firstLineChars="200"/>
        <w:rPr>
          <w:rStyle w:val="16"/>
          <w:rFonts w:ascii="仿宋" w:hAnsi="仿宋" w:eastAsia="仿宋"/>
          <w:b/>
          <w:bCs/>
        </w:rPr>
      </w:pPr>
      <w:bookmarkStart w:id="13" w:name="_Toc70450300"/>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360" w:lineRule="auto"/>
        <w:ind w:firstLine="560" w:firstLineChars="200"/>
        <w:rPr>
          <w:rStyle w:val="16"/>
          <w:b w:val="0"/>
          <w:bCs w:val="0"/>
        </w:rPr>
      </w:pPr>
      <w:r>
        <w:rPr>
          <w:rFonts w:hint="eastAsia" w:ascii="仿宋_GB2312" w:eastAsia="仿宋_GB2312"/>
          <w:sz w:val="28"/>
          <w:szCs w:val="36"/>
        </w:rPr>
        <w:t>我单位按照财政要求基本支出分月度申报资金使用计划，由财政部门按照进度每月按期拨付，人员支出按照工资计划发放工资；依照特克斯县财政局</w:t>
      </w:r>
      <w:r>
        <w:rPr>
          <w:rFonts w:hint="eastAsia" w:ascii="仿宋_GB2312" w:eastAsia="仿宋_GB2312"/>
          <w:sz w:val="28"/>
          <w:szCs w:val="36"/>
          <w:highlight w:val="none"/>
        </w:rPr>
        <w:t>《</w:t>
      </w:r>
      <w:r>
        <w:rPr>
          <w:rFonts w:hint="eastAsia" w:ascii="仿宋_GB2312" w:eastAsia="仿宋_GB2312"/>
          <w:sz w:val="28"/>
          <w:szCs w:val="36"/>
          <w:highlight w:val="none"/>
          <w:lang w:val="en-US" w:eastAsia="zh-CN"/>
        </w:rPr>
        <w:t>预算管理</w:t>
      </w:r>
      <w:r>
        <w:rPr>
          <w:rFonts w:hint="eastAsia" w:ascii="仿宋_GB2312" w:eastAsia="仿宋_GB2312"/>
          <w:sz w:val="28"/>
          <w:szCs w:val="36"/>
          <w:highlight w:val="none"/>
        </w:rPr>
        <w:t>》</w:t>
      </w:r>
      <w:r>
        <w:rPr>
          <w:rFonts w:hint="eastAsia" w:ascii="仿宋_GB2312" w:eastAsia="仿宋_GB2312"/>
          <w:sz w:val="28"/>
          <w:szCs w:val="36"/>
        </w:rPr>
        <w:t>相关规定和特克斯县商务和工业信息化局规定流程，资金支出按照我内控体系中设定的流程申报审批进行；项目支出属于政府采购的，按照《特克斯县商工局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sz w:val="28"/>
          <w:szCs w:val="28"/>
        </w:rPr>
      </w:pPr>
      <w:bookmarkStart w:id="14" w:name="_Toc70450301"/>
      <w:r>
        <w:rPr>
          <w:rStyle w:val="16"/>
          <w:rFonts w:hint="eastAsia"/>
          <w:b/>
          <w:bCs/>
          <w:sz w:val="28"/>
          <w:szCs w:val="28"/>
        </w:rPr>
        <w:t>（二）基本支出管理及使用情况</w:t>
      </w:r>
      <w:bookmarkEnd w:id="14"/>
    </w:p>
    <w:p>
      <w:pPr>
        <w:spacing w:line="360" w:lineRule="auto"/>
        <w:ind w:firstLine="492" w:firstLineChars="181"/>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2021年基本支出预算安排370.5万元，实际到位370.5万元,实际支出370.5万元，占总支出的100％，其中：工资福利支出323.3万元、商品和服务支出38.94万元、对个人和家庭的补助6.26万元、主要</w:t>
      </w:r>
      <w:r>
        <w:rPr>
          <w:rStyle w:val="16"/>
          <w:rFonts w:hint="eastAsia" w:ascii="仿宋_GB2312" w:hAnsi="楷体" w:eastAsia="仿宋_GB2312"/>
          <w:b w:val="0"/>
          <w:spacing w:val="-4"/>
          <w:sz w:val="28"/>
          <w:szCs w:val="28"/>
          <w:highlight w:val="none"/>
        </w:rPr>
        <w:t>用于</w:t>
      </w:r>
      <w:r>
        <w:rPr>
          <w:rStyle w:val="16"/>
          <w:rFonts w:hint="eastAsia" w:ascii="仿宋_GB2312" w:hAnsi="楷体" w:eastAsia="仿宋_GB2312"/>
          <w:b w:val="0"/>
          <w:spacing w:val="-4"/>
          <w:sz w:val="28"/>
          <w:szCs w:val="28"/>
          <w:highlight w:val="none"/>
          <w:lang w:val="en-US" w:eastAsia="zh-CN"/>
        </w:rPr>
        <w:t>南疆支教人员生活补助</w:t>
      </w:r>
      <w:r>
        <w:rPr>
          <w:rStyle w:val="16"/>
          <w:rFonts w:hint="eastAsia" w:ascii="仿宋_GB2312" w:hAnsi="楷体" w:eastAsia="仿宋_GB2312"/>
          <w:b w:val="0"/>
          <w:spacing w:val="-4"/>
          <w:sz w:val="28"/>
          <w:szCs w:val="28"/>
          <w:highlight w:val="none"/>
        </w:rPr>
        <w:t>。</w:t>
      </w:r>
      <w:r>
        <w:rPr>
          <w:rStyle w:val="16"/>
          <w:rFonts w:hint="eastAsia" w:ascii="仿宋_GB2312" w:hAnsi="楷体" w:eastAsia="仿宋_GB2312"/>
          <w:b w:val="0"/>
          <w:spacing w:val="-4"/>
          <w:sz w:val="28"/>
          <w:szCs w:val="28"/>
        </w:rPr>
        <w:t>对企业补助支出2万元，主要用于外贸企业资金补助。</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2021年基本支出比上年292.76万元,增加77.7</w:t>
      </w: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万元，上升26.55</w:t>
      </w:r>
      <w:r>
        <w:rPr>
          <w:rStyle w:val="16"/>
          <w:rFonts w:ascii="仿宋_GB2312" w:hAnsi="宋体" w:eastAsia="仿宋_GB2312"/>
          <w:b w:val="0"/>
          <w:bCs w:val="0"/>
          <w:spacing w:val="-4"/>
          <w:sz w:val="28"/>
          <w:szCs w:val="28"/>
        </w:rPr>
        <w:t xml:space="preserve"> %</w:t>
      </w:r>
      <w:r>
        <w:rPr>
          <w:rStyle w:val="16"/>
          <w:rFonts w:hint="eastAsia" w:ascii="仿宋_GB2312" w:hAnsi="楷体" w:eastAsia="仿宋_GB2312"/>
          <w:b w:val="0"/>
          <w:spacing w:val="-4"/>
          <w:sz w:val="28"/>
          <w:szCs w:val="28"/>
        </w:rPr>
        <w:t>，支出上升的主要原因是，人员增加，支出增加。</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年一般公共预算“三公”经费数为0.8万元，其中：因公出国（境）费0万元，公务用车购置0万元，公务用车运行费0.8万元，公务接待费0.8万元。</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年一般公共预算“三公”经费与上年增加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万元，其中：因公出国（境）费无增减，主要原因是未安排预算；公务用车购置费为0，未安排预算。公务用车运行费增加0万元，主要原因是未安排预算；公务接待费增加0万元，主要原因是未安排预算。</w:t>
      </w:r>
    </w:p>
    <w:p>
      <w:pPr>
        <w:pStyle w:val="4"/>
        <w:spacing w:line="360" w:lineRule="auto"/>
        <w:rPr>
          <w:rStyle w:val="16"/>
          <w:rFonts w:ascii="仿宋" w:hAnsi="仿宋" w:eastAsia="仿宋"/>
          <w:b/>
          <w:bCs/>
        </w:rPr>
      </w:pPr>
      <w:bookmarkStart w:id="15" w:name="_Toc70450302"/>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年预算安排专项资金0万元，实际到位0万元,到位率0％,其中:中央转移支付项目资金0万元，自治区资金0万元，本级安排0万元。</w:t>
      </w:r>
    </w:p>
    <w:p>
      <w:pPr>
        <w:pStyle w:val="5"/>
        <w:spacing w:line="360" w:lineRule="auto"/>
        <w:ind w:firstLine="562" w:firstLineChars="200"/>
        <w:rPr>
          <w:rStyle w:val="16"/>
          <w:rFonts w:ascii="仿宋" w:hAnsi="仿宋" w:eastAsia="仿宋"/>
          <w:b/>
          <w:bCs/>
        </w:rPr>
      </w:pPr>
      <w:bookmarkStart w:id="17" w:name="_Toc70450304"/>
      <w:r>
        <w:rPr>
          <w:rStyle w:val="16"/>
          <w:rFonts w:hint="eastAsia" w:ascii="仿宋" w:hAnsi="仿宋" w:eastAsia="仿宋"/>
          <w:b/>
          <w:bCs/>
        </w:rPr>
        <w:t>2、专项资金实际使用情况</w:t>
      </w:r>
      <w:bookmarkEnd w:id="17"/>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highlight w:val="none"/>
        </w:rPr>
        <w:t>2021年专项资金支出0万元，占总支出的0%，其中2021年专项项目支出比上年</w:t>
      </w:r>
      <w:r>
        <w:rPr>
          <w:rStyle w:val="16"/>
          <w:rFonts w:hint="eastAsia" w:ascii="仿宋_GB2312" w:hAnsi="楷体" w:eastAsia="仿宋_GB2312"/>
          <w:b w:val="0"/>
          <w:spacing w:val="-4"/>
          <w:sz w:val="28"/>
          <w:szCs w:val="28"/>
          <w:highlight w:val="none"/>
          <w:lang w:val="en-US" w:eastAsia="zh-CN"/>
        </w:rPr>
        <w:t>549.7</w:t>
      </w:r>
      <w:r>
        <w:rPr>
          <w:rStyle w:val="16"/>
          <w:rFonts w:hint="eastAsia" w:ascii="仿宋_GB2312" w:hAnsi="楷体" w:eastAsia="仿宋_GB2312"/>
          <w:b w:val="0"/>
          <w:spacing w:val="-4"/>
          <w:sz w:val="28"/>
          <w:szCs w:val="28"/>
          <w:highlight w:val="none"/>
        </w:rPr>
        <w:t>万元减少549.7万元，下降</w:t>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%。支出</w:t>
      </w:r>
      <w:r>
        <w:rPr>
          <w:rStyle w:val="16"/>
          <w:rFonts w:hint="eastAsia" w:ascii="仿宋_GB2312" w:hAnsi="楷体" w:eastAsia="仿宋_GB2312"/>
          <w:b w:val="0"/>
          <w:spacing w:val="-4"/>
          <w:sz w:val="28"/>
          <w:szCs w:val="28"/>
        </w:rPr>
        <w:t>减少的主要原因是项目减少，资金减少。</w:t>
      </w:r>
    </w:p>
    <w:p>
      <w:pPr>
        <w:pStyle w:val="5"/>
        <w:spacing w:line="360" w:lineRule="auto"/>
        <w:ind w:firstLine="562" w:firstLineChars="200"/>
        <w:rPr>
          <w:rStyle w:val="16"/>
          <w:rFonts w:ascii="仿宋" w:hAnsi="仿宋" w:eastAsia="仿宋"/>
          <w:b/>
          <w:bCs/>
        </w:rPr>
      </w:pPr>
      <w:bookmarkStart w:id="18" w:name="_Toc70450305"/>
      <w:r>
        <w:rPr>
          <w:rStyle w:val="16"/>
          <w:rFonts w:hint="eastAsia" w:ascii="仿宋" w:hAnsi="仿宋" w:eastAsia="仿宋"/>
          <w:b/>
          <w:bCs/>
        </w:rPr>
        <w:t>3、专项资金管理情况</w:t>
      </w:r>
      <w:bookmarkEnd w:id="18"/>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为规范专项资金使用，提高专项资金使用效益，我单位主要采取四项措施。</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制定了特克斯县商务和工业信息化局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）建立特克斯县商务和工业信息化局专项资金专帐，做到有据可依，有据可查。</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（3）制订了特克斯县商务和工业信息化局项目实施方案，确保项目</w:t>
      </w:r>
      <w:r>
        <w:rPr>
          <w:rStyle w:val="16"/>
          <w:rFonts w:hint="eastAsia" w:ascii="仿宋_GB2312" w:hAnsi="楷体" w:eastAsia="仿宋_GB2312"/>
          <w:b w:val="0"/>
          <w:spacing w:val="-4"/>
          <w:sz w:val="28"/>
          <w:szCs w:val="28"/>
          <w:lang w:val="en-US" w:eastAsia="zh-CN"/>
        </w:rPr>
        <w:t>正常运行</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（4）认真组织特克斯县商务和工业信息化局项目验收，确保</w:t>
      </w:r>
      <w:r>
        <w:rPr>
          <w:rStyle w:val="16"/>
          <w:rFonts w:hint="eastAsia" w:ascii="仿宋_GB2312" w:hAnsi="楷体" w:eastAsia="仿宋_GB2312"/>
          <w:b w:val="0"/>
          <w:spacing w:val="-4"/>
          <w:sz w:val="28"/>
          <w:szCs w:val="28"/>
          <w:lang w:val="en-US" w:eastAsia="zh-CN"/>
        </w:rPr>
        <w:t>项目顺利实施</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专项资金涉及政府采购项目的，按照局《特克斯县商务和工业信息化局采购与招标管理办法》组织人员制定采购计划，按照财政局采购部门批复，进行公开招标、邀请招标等方式进行。</w:t>
      </w:r>
    </w:p>
    <w:p>
      <w:pPr>
        <w:spacing w:line="360" w:lineRule="auto"/>
        <w:ind w:firstLine="492" w:firstLineChars="181"/>
        <w:rPr>
          <w:rStyle w:val="16"/>
          <w:rFonts w:ascii="仿宋_GB2312" w:hAnsi="楷体" w:eastAsia="仿宋_GB2312"/>
          <w:b w:val="0"/>
          <w:spacing w:val="-4"/>
          <w:sz w:val="28"/>
          <w:szCs w:val="28"/>
        </w:rPr>
      </w:pPr>
    </w:p>
    <w:p>
      <w:pPr>
        <w:pStyle w:val="3"/>
        <w:spacing w:line="360" w:lineRule="auto"/>
        <w:rPr>
          <w:rFonts w:ascii="仿宋" w:hAnsi="仿宋" w:eastAsia="仿宋"/>
          <w:sz w:val="36"/>
          <w:szCs w:val="36"/>
        </w:rPr>
      </w:pPr>
      <w:bookmarkStart w:id="19" w:name="_Toc70450306"/>
      <w:r>
        <w:rPr>
          <w:rFonts w:hint="eastAsia" w:ascii="仿宋" w:hAnsi="仿宋" w:eastAsia="仿宋"/>
          <w:sz w:val="36"/>
          <w:szCs w:val="36"/>
        </w:rPr>
        <w:t>三、部门单位专项组织实施情况</w:t>
      </w:r>
      <w:bookmarkEnd w:id="19"/>
    </w:p>
    <w:p>
      <w:pPr>
        <w:spacing w:line="360" w:lineRule="auto"/>
        <w:ind w:firstLine="492" w:firstLineChars="181"/>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本单位2021年度未安排项目支出预算</w:t>
      </w:r>
    </w:p>
    <w:p/>
    <w:p>
      <w:pPr>
        <w:pStyle w:val="3"/>
        <w:spacing w:line="360" w:lineRule="auto"/>
        <w:rPr>
          <w:rFonts w:ascii="仿宋" w:hAnsi="仿宋" w:eastAsia="仿宋"/>
          <w:sz w:val="36"/>
          <w:szCs w:val="36"/>
        </w:rPr>
      </w:pPr>
      <w:bookmarkStart w:id="20" w:name="_Toc70450310"/>
      <w:r>
        <w:rPr>
          <w:rFonts w:hint="eastAsia" w:ascii="仿宋" w:hAnsi="仿宋" w:eastAsia="仿宋"/>
          <w:sz w:val="36"/>
          <w:szCs w:val="36"/>
        </w:rPr>
        <w:t>四、资产管理情况</w:t>
      </w:r>
      <w:bookmarkEnd w:id="20"/>
    </w:p>
    <w:p>
      <w:pPr>
        <w:pStyle w:val="4"/>
        <w:spacing w:line="360" w:lineRule="auto"/>
        <w:rPr>
          <w:rStyle w:val="16"/>
          <w:rFonts w:ascii="仿宋" w:hAnsi="仿宋" w:eastAsia="仿宋"/>
          <w:b/>
          <w:bCs/>
        </w:rPr>
      </w:pPr>
      <w:bookmarkStart w:id="21" w:name="_Toc70450311"/>
      <w:r>
        <w:rPr>
          <w:rStyle w:val="16"/>
          <w:rFonts w:hint="eastAsia" w:ascii="仿宋" w:hAnsi="仿宋" w:eastAsia="仿宋"/>
          <w:b/>
          <w:bCs/>
        </w:rPr>
        <w:t>（一）资产配置情况</w:t>
      </w:r>
      <w:bookmarkEnd w:id="21"/>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rPr>
        <w:t>2021年我</w:t>
      </w:r>
      <w:r>
        <w:rPr>
          <w:rStyle w:val="16"/>
          <w:rFonts w:hint="eastAsia" w:ascii="仿宋_GB2312" w:hAnsi="宋体" w:eastAsia="仿宋_GB2312"/>
          <w:b w:val="0"/>
          <w:bCs w:val="0"/>
          <w:spacing w:val="-4"/>
          <w:sz w:val="28"/>
          <w:szCs w:val="28"/>
          <w:lang w:val="en-US" w:eastAsia="zh-CN"/>
        </w:rPr>
        <w:t>单位资产</w:t>
      </w:r>
      <w:r>
        <w:rPr>
          <w:rStyle w:val="16"/>
          <w:rFonts w:hint="eastAsia" w:ascii="仿宋_GB2312" w:hAnsi="宋体" w:eastAsia="仿宋_GB2312"/>
          <w:b w:val="0"/>
          <w:bCs w:val="0"/>
          <w:spacing w:val="-4"/>
          <w:sz w:val="28"/>
          <w:szCs w:val="28"/>
        </w:rPr>
        <w:t>总额</w:t>
      </w:r>
      <w:r>
        <w:rPr>
          <w:rStyle w:val="16"/>
          <w:rFonts w:hint="eastAsia" w:ascii="仿宋_GB2312" w:hAnsi="宋体" w:eastAsia="仿宋_GB2312"/>
          <w:b w:val="0"/>
          <w:bCs w:val="0"/>
          <w:spacing w:val="-4"/>
          <w:sz w:val="28"/>
          <w:szCs w:val="28"/>
          <w:lang w:val="en-US" w:eastAsia="zh-CN"/>
        </w:rPr>
        <w:t>62.49</w:t>
      </w:r>
      <w:r>
        <w:rPr>
          <w:rStyle w:val="16"/>
          <w:rFonts w:hint="eastAsia" w:ascii="仿宋_GB2312" w:hAnsi="宋体" w:eastAsia="仿宋_GB2312"/>
          <w:b w:val="0"/>
          <w:bCs w:val="0"/>
          <w:spacing w:val="-4"/>
          <w:sz w:val="28"/>
          <w:szCs w:val="28"/>
        </w:rPr>
        <w:t>万元，其中流动资产</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万元（其中</w:t>
      </w:r>
      <w:r>
        <w:rPr>
          <w:rStyle w:val="16"/>
          <w:rFonts w:hint="eastAsia" w:ascii="仿宋_GB2312" w:hAnsi="宋体" w:eastAsia="仿宋_GB2312"/>
          <w:b w:val="0"/>
          <w:bCs w:val="0"/>
          <w:spacing w:val="-4"/>
          <w:sz w:val="28"/>
          <w:szCs w:val="28"/>
          <w:lang w:eastAsia="zh-CN"/>
        </w:rPr>
        <w:t>，</w:t>
      </w:r>
      <w:r>
        <w:rPr>
          <w:rStyle w:val="16"/>
          <w:rFonts w:hint="eastAsia" w:ascii="仿宋_GB2312" w:hAnsi="宋体" w:eastAsia="仿宋_GB2312"/>
          <w:b w:val="0"/>
          <w:bCs w:val="0"/>
          <w:spacing w:val="-4"/>
          <w:sz w:val="28"/>
          <w:szCs w:val="28"/>
          <w:lang w:val="en-US" w:eastAsia="zh-CN"/>
        </w:rPr>
        <w:t>没有</w:t>
      </w:r>
      <w:r>
        <w:rPr>
          <w:rStyle w:val="16"/>
          <w:rFonts w:hint="eastAsia" w:ascii="仿宋_GB2312" w:hAnsi="宋体" w:eastAsia="仿宋_GB2312"/>
          <w:b w:val="0"/>
          <w:bCs w:val="0"/>
          <w:spacing w:val="-4"/>
          <w:sz w:val="28"/>
          <w:szCs w:val="28"/>
        </w:rPr>
        <w:t>流动资产），固定资产净值4.13万元（其中：土地、房屋及构筑物0万元，占固定资产净值的0%；通用设备</w:t>
      </w:r>
      <w:r>
        <w:rPr>
          <w:rStyle w:val="16"/>
          <w:rFonts w:hint="eastAsia" w:ascii="仿宋_GB2312" w:hAnsi="宋体" w:eastAsia="仿宋_GB2312"/>
          <w:b w:val="0"/>
          <w:bCs w:val="0"/>
          <w:spacing w:val="-4"/>
          <w:sz w:val="28"/>
          <w:szCs w:val="28"/>
          <w:lang w:val="en-US" w:eastAsia="zh-CN"/>
        </w:rPr>
        <w:t>1.49</w:t>
      </w:r>
      <w:r>
        <w:rPr>
          <w:rStyle w:val="16"/>
          <w:rFonts w:hint="eastAsia" w:ascii="仿宋_GB2312" w:hAnsi="宋体" w:eastAsia="仿宋_GB2312"/>
          <w:b w:val="0"/>
          <w:bCs w:val="0"/>
          <w:spacing w:val="-4"/>
          <w:sz w:val="28"/>
          <w:szCs w:val="28"/>
        </w:rPr>
        <w:t>万元，占固定资产净值</w:t>
      </w:r>
      <w:r>
        <w:rPr>
          <w:rStyle w:val="16"/>
          <w:rFonts w:hint="eastAsia" w:ascii="仿宋_GB2312" w:hAnsi="宋体" w:eastAsia="仿宋_GB2312"/>
          <w:b w:val="0"/>
          <w:bCs w:val="0"/>
          <w:spacing w:val="-4"/>
          <w:sz w:val="28"/>
          <w:szCs w:val="28"/>
          <w:highlight w:val="none"/>
        </w:rPr>
        <w:t>的</w:t>
      </w:r>
      <w:r>
        <w:rPr>
          <w:rStyle w:val="16"/>
          <w:rFonts w:hint="eastAsia" w:ascii="仿宋_GB2312" w:hAnsi="宋体" w:eastAsia="仿宋_GB2312"/>
          <w:b w:val="0"/>
          <w:bCs w:val="0"/>
          <w:spacing w:val="-4"/>
          <w:sz w:val="28"/>
          <w:szCs w:val="28"/>
          <w:highlight w:val="none"/>
          <w:lang w:val="en-US" w:eastAsia="zh-CN"/>
        </w:rPr>
        <w:t>36</w:t>
      </w:r>
      <w:r>
        <w:rPr>
          <w:rStyle w:val="16"/>
          <w:rFonts w:hint="eastAsia" w:ascii="仿宋_GB2312" w:hAnsi="宋体" w:eastAsia="仿宋_GB2312"/>
          <w:b w:val="0"/>
          <w:bCs w:val="0"/>
          <w:spacing w:val="-4"/>
          <w:sz w:val="28"/>
          <w:szCs w:val="28"/>
          <w:highlight w:val="none"/>
        </w:rPr>
        <w:t>%；专用设备</w:t>
      </w:r>
      <w:r>
        <w:rPr>
          <w:rStyle w:val="16"/>
          <w:rFonts w:hint="eastAsia" w:ascii="仿宋_GB2312" w:hAnsi="宋体" w:eastAsia="仿宋_GB2312"/>
          <w:b w:val="0"/>
          <w:bCs w:val="0"/>
          <w:spacing w:val="-4"/>
          <w:sz w:val="28"/>
          <w:szCs w:val="28"/>
          <w:highlight w:val="none"/>
          <w:lang w:val="en-US" w:eastAsia="zh-CN"/>
        </w:rPr>
        <w:t>0.20</w:t>
      </w:r>
      <w:r>
        <w:rPr>
          <w:rStyle w:val="16"/>
          <w:rFonts w:hint="eastAsia" w:ascii="仿宋_GB2312" w:hAnsi="宋体" w:eastAsia="仿宋_GB2312"/>
          <w:b w:val="0"/>
          <w:bCs w:val="0"/>
          <w:spacing w:val="-4"/>
          <w:sz w:val="28"/>
          <w:szCs w:val="28"/>
          <w:highlight w:val="none"/>
        </w:rPr>
        <w:t>万元，占固定资产净值的</w:t>
      </w:r>
      <w:r>
        <w:rPr>
          <w:rStyle w:val="16"/>
          <w:rFonts w:hint="eastAsia" w:ascii="仿宋_GB2312" w:hAnsi="宋体" w:eastAsia="仿宋_GB2312"/>
          <w:b w:val="0"/>
          <w:bCs w:val="0"/>
          <w:spacing w:val="-4"/>
          <w:sz w:val="28"/>
          <w:szCs w:val="28"/>
          <w:highlight w:val="none"/>
          <w:lang w:val="en-US" w:eastAsia="zh-CN"/>
        </w:rPr>
        <w:t>4.8</w:t>
      </w:r>
      <w:r>
        <w:rPr>
          <w:rStyle w:val="16"/>
          <w:rFonts w:hint="eastAsia" w:ascii="仿宋_GB2312" w:hAnsi="宋体" w:eastAsia="仿宋_GB2312"/>
          <w:b w:val="0"/>
          <w:bCs w:val="0"/>
          <w:spacing w:val="-4"/>
          <w:sz w:val="28"/>
          <w:szCs w:val="28"/>
          <w:highlight w:val="none"/>
        </w:rPr>
        <w:t>%；其他）。</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本年度流动资产</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万元，比上年增加</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val="en-US" w:eastAsia="zh-CN"/>
        </w:rPr>
        <w:t>未安排资金</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本年度固定资产</w:t>
      </w:r>
      <w:r>
        <w:rPr>
          <w:rStyle w:val="16"/>
          <w:rFonts w:hint="eastAsia" w:ascii="仿宋_GB2312" w:hAnsi="宋体" w:eastAsia="仿宋_GB2312"/>
          <w:b w:val="0"/>
          <w:bCs w:val="0"/>
          <w:spacing w:val="-4"/>
          <w:sz w:val="28"/>
          <w:szCs w:val="28"/>
          <w:lang w:val="en-US" w:eastAsia="zh-CN"/>
        </w:rPr>
        <w:t>62.49</w:t>
      </w:r>
      <w:r>
        <w:rPr>
          <w:rStyle w:val="16"/>
          <w:rFonts w:hint="eastAsia" w:ascii="仿宋_GB2312" w:hAnsi="宋体" w:eastAsia="仿宋_GB2312"/>
          <w:b w:val="0"/>
          <w:bCs w:val="0"/>
          <w:spacing w:val="-4"/>
          <w:sz w:val="28"/>
          <w:szCs w:val="28"/>
        </w:rPr>
        <w:t>万元，比上年减少</w:t>
      </w:r>
      <w:r>
        <w:rPr>
          <w:rStyle w:val="16"/>
          <w:rFonts w:hint="eastAsia" w:ascii="仿宋_GB2312" w:hAnsi="宋体" w:eastAsia="仿宋_GB2312"/>
          <w:b w:val="0"/>
          <w:bCs w:val="0"/>
          <w:spacing w:val="-4"/>
          <w:sz w:val="28"/>
          <w:szCs w:val="28"/>
          <w:lang w:val="en-US" w:eastAsia="zh-CN"/>
        </w:rPr>
        <w:t>22.05</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val="en-US" w:eastAsia="zh-CN"/>
        </w:rPr>
        <w:t>资产处置</w:t>
      </w:r>
      <w:r>
        <w:rPr>
          <w:rStyle w:val="16"/>
          <w:rFonts w:hint="eastAsia" w:ascii="仿宋_GB2312" w:hAnsi="宋体" w:eastAsia="仿宋_GB2312"/>
          <w:b w:val="0"/>
          <w:bCs w:val="0"/>
          <w:spacing w:val="-4"/>
          <w:sz w:val="28"/>
          <w:szCs w:val="28"/>
        </w:rPr>
        <w:t xml:space="preserve"> 。</w:t>
      </w:r>
    </w:p>
    <w:p>
      <w:pPr>
        <w:snapToGrid w:val="0"/>
        <w:spacing w:line="360" w:lineRule="auto"/>
        <w:ind w:firstLine="544" w:firstLineChars="200"/>
        <w:rPr>
          <w:rStyle w:val="16"/>
          <w:rFonts w:hint="eastAsia" w:ascii="宋体" w:hAnsi="宋体" w:eastAsia="仿宋_GB2312"/>
          <w:bCs w:val="0"/>
          <w:color w:val="FF0000"/>
          <w:spacing w:val="-4"/>
          <w:sz w:val="28"/>
          <w:szCs w:val="28"/>
          <w:lang w:eastAsia="zh-CN"/>
        </w:rPr>
      </w:pPr>
      <w:r>
        <w:rPr>
          <w:rStyle w:val="16"/>
          <w:rFonts w:hint="eastAsia" w:ascii="仿宋_GB2312" w:hAnsi="宋体" w:eastAsia="仿宋_GB2312"/>
          <w:b w:val="0"/>
          <w:bCs w:val="0"/>
          <w:spacing w:val="-4"/>
          <w:sz w:val="28"/>
          <w:szCs w:val="28"/>
        </w:rPr>
        <w:t>实际在用固定资产</w:t>
      </w:r>
      <w:r>
        <w:rPr>
          <w:rStyle w:val="16"/>
          <w:rFonts w:hint="eastAsia" w:ascii="仿宋_GB2312" w:hAnsi="宋体" w:eastAsia="仿宋_GB2312"/>
          <w:b w:val="0"/>
          <w:bCs w:val="0"/>
          <w:spacing w:val="-4"/>
          <w:sz w:val="28"/>
          <w:szCs w:val="28"/>
          <w:lang w:val="en-US" w:eastAsia="zh-CN"/>
        </w:rPr>
        <w:t>62.49</w:t>
      </w:r>
      <w:r>
        <w:rPr>
          <w:rStyle w:val="16"/>
          <w:rFonts w:hint="eastAsia" w:ascii="仿宋_GB2312" w:hAnsi="宋体" w:eastAsia="仿宋_GB2312"/>
          <w:b w:val="0"/>
          <w:bCs w:val="0"/>
          <w:spacing w:val="-4"/>
          <w:sz w:val="28"/>
          <w:szCs w:val="28"/>
        </w:rPr>
        <w:t>万元，固定资产利用率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r>
        <w:rPr>
          <w:rStyle w:val="16"/>
          <w:rFonts w:hint="eastAsia" w:ascii="仿宋_GB2312" w:hAnsi="宋体" w:eastAsia="仿宋_GB2312"/>
          <w:b w:val="0"/>
          <w:bCs w:val="0"/>
          <w:spacing w:val="-4"/>
          <w:sz w:val="28"/>
          <w:szCs w:val="28"/>
          <w:lang w:eastAsia="zh-CN"/>
        </w:rPr>
        <w:t>。</w:t>
      </w:r>
    </w:p>
    <w:p>
      <w:pPr>
        <w:pStyle w:val="4"/>
        <w:spacing w:line="360" w:lineRule="auto"/>
        <w:rPr>
          <w:rStyle w:val="16"/>
          <w:rFonts w:ascii="仿宋" w:hAnsi="仿宋" w:eastAsia="仿宋"/>
          <w:b/>
          <w:bCs/>
        </w:rPr>
      </w:pPr>
      <w:bookmarkStart w:id="22" w:name="_Toc70450312"/>
      <w:r>
        <w:rPr>
          <w:rStyle w:val="16"/>
          <w:rFonts w:hint="eastAsia" w:ascii="仿宋" w:hAnsi="仿宋" w:eastAsia="仿宋"/>
          <w:b/>
          <w:bCs/>
        </w:rPr>
        <w:t>（二）资产管理情况</w:t>
      </w:r>
      <w:bookmarkEnd w:id="22"/>
    </w:p>
    <w:p>
      <w:pPr>
        <w:spacing w:line="360" w:lineRule="auto"/>
        <w:ind w:firstLine="544" w:firstLineChars="200"/>
        <w:rPr>
          <w:rStyle w:val="16"/>
          <w:rFonts w:hint="eastAsia" w:ascii="仿宋_GB2312" w:hAnsi="宋体" w:eastAsia="仿宋_GB2312"/>
          <w:b w:val="0"/>
          <w:bCs w:val="0"/>
          <w:spacing w:val="-4"/>
          <w:sz w:val="28"/>
          <w:szCs w:val="28"/>
          <w:lang w:val="en-US" w:eastAsia="zh-CN"/>
        </w:rPr>
      </w:pPr>
      <w:r>
        <w:rPr>
          <w:rStyle w:val="16"/>
          <w:rFonts w:hint="eastAsia" w:ascii="仿宋_GB2312" w:hAnsi="宋体" w:eastAsia="仿宋_GB2312"/>
          <w:b w:val="0"/>
          <w:bCs w:val="0"/>
          <w:spacing w:val="-4"/>
          <w:sz w:val="28"/>
          <w:szCs w:val="28"/>
          <w:lang w:val="en-US" w:eastAsia="zh-CN"/>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hint="eastAsia" w:ascii="仿宋_GB2312" w:hAnsi="宋体" w:eastAsia="仿宋_GB2312"/>
          <w:b w:val="0"/>
          <w:bCs w:val="0"/>
          <w:spacing w:val="-4"/>
          <w:sz w:val="28"/>
          <w:szCs w:val="28"/>
          <w:lang w:val="en-US" w:eastAsia="zh-CN"/>
        </w:rPr>
      </w:pPr>
      <w:r>
        <w:rPr>
          <w:rStyle w:val="16"/>
          <w:rFonts w:hint="eastAsia" w:ascii="仿宋_GB2312" w:hAnsi="宋体" w:eastAsia="仿宋_GB2312"/>
          <w:b w:val="0"/>
          <w:bCs w:val="0"/>
          <w:spacing w:val="-4"/>
          <w:sz w:val="28"/>
          <w:szCs w:val="28"/>
          <w:lang w:val="en-US" w:eastAsia="zh-CN"/>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16"/>
          <w:rFonts w:ascii="仿宋_GB2312" w:hAnsi="宋体" w:eastAsia="仿宋_GB2312"/>
          <w:b w:val="0"/>
          <w:spacing w:val="-4"/>
          <w:sz w:val="28"/>
          <w:szCs w:val="28"/>
        </w:rPr>
      </w:pPr>
    </w:p>
    <w:p>
      <w:pPr>
        <w:pStyle w:val="3"/>
        <w:spacing w:line="360" w:lineRule="auto"/>
        <w:rPr>
          <w:rFonts w:ascii="仿宋" w:hAnsi="仿宋" w:eastAsia="仿宋"/>
          <w:sz w:val="36"/>
          <w:szCs w:val="36"/>
        </w:rPr>
      </w:pPr>
      <w:bookmarkStart w:id="23" w:name="_Toc70450313"/>
      <w:r>
        <w:rPr>
          <w:rFonts w:hint="eastAsia" w:ascii="仿宋" w:hAnsi="仿宋" w:eastAsia="仿宋"/>
          <w:sz w:val="36"/>
          <w:szCs w:val="36"/>
        </w:rPr>
        <w:t>五、部门单位整体支出绩效情况</w:t>
      </w:r>
      <w:bookmarkEnd w:id="23"/>
    </w:p>
    <w:p>
      <w:pPr>
        <w:pStyle w:val="4"/>
        <w:spacing w:line="360" w:lineRule="auto"/>
        <w:ind w:firstLine="643" w:firstLineChars="200"/>
        <w:rPr>
          <w:rStyle w:val="16"/>
          <w:rFonts w:ascii="仿宋" w:hAnsi="仿宋" w:eastAsia="仿宋"/>
          <w:b/>
          <w:bCs/>
        </w:rPr>
      </w:pPr>
      <w:bookmarkStart w:id="24" w:name="_Toc70450314"/>
      <w:r>
        <w:rPr>
          <w:rStyle w:val="16"/>
          <w:rFonts w:hint="eastAsia" w:ascii="仿宋" w:hAnsi="仿宋" w:eastAsia="仿宋"/>
          <w:b/>
          <w:bCs/>
        </w:rPr>
        <w:t>（一）经济效益评价</w:t>
      </w:r>
      <w:bookmarkEnd w:id="24"/>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2021年度我单位年初预算安排21</w:t>
      </w:r>
      <w:r>
        <w:rPr>
          <w:rStyle w:val="16"/>
          <w:rFonts w:hint="eastAsia" w:ascii="仿宋_GB2312" w:hAnsi="宋体" w:eastAsia="仿宋_GB2312"/>
          <w:b w:val="0"/>
          <w:bCs w:val="0"/>
          <w:spacing w:val="-4"/>
          <w:sz w:val="28"/>
          <w:szCs w:val="28"/>
          <w:lang w:val="en-US" w:eastAsia="zh-CN"/>
        </w:rPr>
        <w:t>2</w:t>
      </w:r>
      <w:r>
        <w:rPr>
          <w:rStyle w:val="16"/>
          <w:rFonts w:hint="eastAsia" w:ascii="仿宋_GB2312" w:hAnsi="宋体" w:eastAsia="仿宋_GB2312"/>
          <w:b w:val="0"/>
          <w:bCs w:val="0"/>
          <w:spacing w:val="-4"/>
          <w:sz w:val="28"/>
          <w:szCs w:val="28"/>
        </w:rPr>
        <w:t>.96万元，年中调整15</w:t>
      </w:r>
      <w:r>
        <w:rPr>
          <w:rStyle w:val="16"/>
          <w:rFonts w:hint="eastAsia" w:ascii="仿宋_GB2312" w:hAnsi="宋体" w:eastAsia="仿宋_GB2312"/>
          <w:b w:val="0"/>
          <w:bCs w:val="0"/>
          <w:spacing w:val="-4"/>
          <w:sz w:val="28"/>
          <w:szCs w:val="28"/>
          <w:lang w:val="en-US" w:eastAsia="zh-CN"/>
        </w:rPr>
        <w:t>7</w:t>
      </w:r>
      <w:r>
        <w:rPr>
          <w:rStyle w:val="16"/>
          <w:rFonts w:hint="eastAsia" w:ascii="仿宋_GB2312" w:hAnsi="宋体" w:eastAsia="仿宋_GB2312"/>
          <w:b w:val="0"/>
          <w:bCs w:val="0"/>
          <w:spacing w:val="-4"/>
          <w:sz w:val="28"/>
          <w:szCs w:val="28"/>
        </w:rPr>
        <w:t>.54万元，截止12月底支出370.5万元，执行率1</w:t>
      </w:r>
      <w:r>
        <w:rPr>
          <w:rStyle w:val="16"/>
          <w:rFonts w:hint="eastAsia" w:ascii="仿宋_GB2312" w:hAnsi="宋体" w:eastAsia="仿宋_GB2312"/>
          <w:b w:val="0"/>
          <w:bCs w:val="0"/>
          <w:spacing w:val="-4"/>
          <w:sz w:val="28"/>
          <w:szCs w:val="28"/>
          <w:lang w:val="en-US" w:eastAsia="zh-CN"/>
        </w:rPr>
        <w:t>00</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1</w:t>
      </w:r>
      <w:r>
        <w:rPr>
          <w:rStyle w:val="16"/>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4"/>
        <w:spacing w:line="360" w:lineRule="auto"/>
        <w:ind w:firstLine="643" w:firstLineChars="200"/>
        <w:rPr>
          <w:rStyle w:val="16"/>
          <w:rFonts w:ascii="仿宋" w:hAnsi="仿宋" w:eastAsia="仿宋"/>
          <w:b/>
          <w:bCs/>
        </w:rPr>
      </w:pPr>
      <w:bookmarkStart w:id="25" w:name="_Toc70450315"/>
      <w:r>
        <w:rPr>
          <w:rStyle w:val="16"/>
          <w:rFonts w:hint="eastAsia" w:ascii="仿宋" w:hAnsi="仿宋" w:eastAsia="仿宋"/>
          <w:b/>
          <w:bCs/>
        </w:rPr>
        <w:t>（二）效率性评价</w:t>
      </w:r>
      <w:bookmarkEnd w:id="25"/>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2021年，在政府的大力支持和县财政局的正确领导下，我单位迎难而上、务实重干，积极推动各项经济工作取得了新的进展，为促进经济持续健康发展与社会和谐稳定提供了有力的经济支撑和保障。</w:t>
      </w:r>
    </w:p>
    <w:p>
      <w:pPr>
        <w:numPr>
          <w:ilvl w:val="0"/>
          <w:numId w:val="1"/>
        </w:num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圆满完成绩效考核工作</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楷体" w:eastAsia="仿宋_GB2312"/>
          <w:b w:val="0"/>
          <w:spacing w:val="-4"/>
          <w:sz w:val="28"/>
          <w:szCs w:val="28"/>
        </w:rPr>
        <w:t>2021年我县招商引资目标任务是25亿元，</w:t>
      </w:r>
      <w:r>
        <w:rPr>
          <w:rStyle w:val="16"/>
          <w:rFonts w:hint="eastAsia" w:ascii="仿宋_GB2312" w:hAnsi="楷体" w:eastAsia="仿宋_GB2312"/>
          <w:b w:val="0"/>
          <w:spacing w:val="-4"/>
          <w:sz w:val="28"/>
          <w:szCs w:val="28"/>
          <w:lang w:val="en-US" w:eastAsia="zh-CN"/>
        </w:rPr>
        <w:t>已</w:t>
      </w:r>
      <w:r>
        <w:rPr>
          <w:rStyle w:val="16"/>
          <w:rFonts w:hint="eastAsia" w:ascii="仿宋_GB2312" w:hAnsi="楷体" w:eastAsia="仿宋_GB2312"/>
          <w:b w:val="0"/>
          <w:spacing w:val="-4"/>
          <w:sz w:val="28"/>
          <w:szCs w:val="28"/>
        </w:rPr>
        <w:t>完成到位资金27.6亿元，州直排名第四，超出目标任务2.6亿元，超额完成全年目标任务10%</w:t>
      </w:r>
      <w:r>
        <w:rPr>
          <w:rStyle w:val="16"/>
          <w:rFonts w:hint="eastAsia" w:ascii="仿宋_GB2312" w:hAnsi="宋体" w:eastAsia="仿宋_GB2312"/>
          <w:b w:val="0"/>
          <w:bCs w:val="0"/>
          <w:spacing w:val="-4"/>
          <w:sz w:val="28"/>
          <w:szCs w:val="28"/>
        </w:rPr>
        <w:t>。</w:t>
      </w:r>
    </w:p>
    <w:p>
      <w:pPr>
        <w:tabs>
          <w:tab w:val="left" w:pos="312"/>
        </w:tabs>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w:t>
      </w:r>
      <w:r>
        <w:rPr>
          <w:rStyle w:val="16"/>
          <w:rFonts w:hint="eastAsia" w:ascii="仿宋_GB2312" w:hAnsi="宋体" w:eastAsia="仿宋_GB2312"/>
          <w:b w:val="0"/>
          <w:bCs w:val="0"/>
          <w:spacing w:val="-4"/>
          <w:sz w:val="28"/>
          <w:szCs w:val="28"/>
          <w:lang w:val="en-US" w:eastAsia="zh-CN"/>
        </w:rPr>
        <w:t>外贸出口绩效目标</w:t>
      </w:r>
      <w:r>
        <w:rPr>
          <w:rStyle w:val="16"/>
          <w:rFonts w:hint="eastAsia" w:ascii="仿宋_GB2312" w:hAnsi="宋体" w:eastAsia="仿宋_GB2312"/>
          <w:b w:val="0"/>
          <w:bCs w:val="0"/>
          <w:spacing w:val="-4"/>
          <w:sz w:val="28"/>
          <w:szCs w:val="28"/>
        </w:rPr>
        <w:t>任务提前完成</w:t>
      </w:r>
    </w:p>
    <w:p>
      <w:pPr>
        <w:tabs>
          <w:tab w:val="left" w:pos="312"/>
        </w:tabs>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楷体" w:eastAsia="仿宋_GB2312"/>
          <w:b w:val="0"/>
          <w:spacing w:val="-4"/>
          <w:sz w:val="28"/>
          <w:szCs w:val="28"/>
        </w:rPr>
        <w:t>特克斯县2021年外贸进出口目标任务750万美元，1-10月，完成外贸出口800万元，完成目标任务的106.7%，已提前完成全年目标任务。</w:t>
      </w:r>
    </w:p>
    <w:p>
      <w:pPr>
        <w:pStyle w:val="20"/>
        <w:numPr>
          <w:ilvl w:val="0"/>
          <w:numId w:val="0"/>
        </w:numPr>
        <w:tabs>
          <w:tab w:val="left" w:pos="312"/>
        </w:tabs>
        <w:spacing w:line="360" w:lineRule="auto"/>
        <w:ind w:firstLine="544" w:firstLineChars="200"/>
        <w:jc w:val="left"/>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lang w:val="en-US" w:eastAsia="zh-CN"/>
        </w:rPr>
        <w:t>3、全县工业经济发展</w:t>
      </w:r>
      <w:r>
        <w:rPr>
          <w:rStyle w:val="16"/>
          <w:rFonts w:hint="eastAsia" w:ascii="仿宋_GB2312" w:hAnsi="宋体" w:eastAsia="仿宋_GB2312"/>
          <w:b w:val="0"/>
          <w:bCs w:val="0"/>
          <w:spacing w:val="-4"/>
          <w:sz w:val="28"/>
          <w:szCs w:val="28"/>
        </w:rPr>
        <w:t>成效显著</w:t>
      </w:r>
    </w:p>
    <w:p>
      <w:pPr>
        <w:spacing w:line="360" w:lineRule="auto"/>
        <w:ind w:firstLine="544" w:firstLineChars="200"/>
        <w:rPr>
          <w:rStyle w:val="16"/>
          <w:rFonts w:hint="default" w:ascii="仿宋_GB2312" w:hAnsi="宋体" w:eastAsia="仿宋_GB2312"/>
          <w:b w:val="0"/>
          <w:bCs w:val="0"/>
          <w:spacing w:val="-4"/>
          <w:sz w:val="28"/>
          <w:szCs w:val="28"/>
          <w:lang w:val="en-US" w:eastAsia="zh-CN"/>
        </w:rPr>
      </w:pPr>
      <w:r>
        <w:rPr>
          <w:rStyle w:val="16"/>
          <w:rFonts w:hint="eastAsia" w:ascii="仿宋_GB2312" w:hAnsi="宋体" w:eastAsia="仿宋_GB2312"/>
          <w:b w:val="0"/>
          <w:bCs w:val="0"/>
          <w:spacing w:val="-4"/>
          <w:sz w:val="28"/>
          <w:szCs w:val="28"/>
          <w:lang w:val="en-US" w:eastAsia="zh-CN"/>
        </w:rPr>
        <w:t>特克斯县上下把握机遇，着力优化结构，转型升级，创新驱动，提高效益，保持稳中求进的基调，工业经济在发展格局、发展趋势等方面都呈现出新变化，显现出新成效，进而迈进经济高质量发展阶段。</w:t>
      </w:r>
    </w:p>
    <w:p>
      <w:pPr>
        <w:pStyle w:val="4"/>
        <w:spacing w:line="360" w:lineRule="auto"/>
        <w:ind w:firstLine="643" w:firstLineChars="200"/>
        <w:rPr>
          <w:rStyle w:val="16"/>
          <w:rFonts w:ascii="仿宋" w:hAnsi="仿宋" w:eastAsia="仿宋"/>
          <w:b/>
          <w:bCs/>
        </w:rPr>
      </w:pPr>
      <w:bookmarkStart w:id="26" w:name="_Toc70450316"/>
      <w:r>
        <w:rPr>
          <w:rStyle w:val="16"/>
          <w:rFonts w:hint="eastAsia" w:ascii="仿宋" w:hAnsi="仿宋" w:eastAsia="仿宋"/>
          <w:b/>
          <w:bCs/>
        </w:rPr>
        <w:t>（三）有效性评价</w:t>
      </w:r>
      <w:bookmarkEnd w:id="26"/>
    </w:p>
    <w:p>
      <w:pPr>
        <w:pStyle w:val="20"/>
        <w:numPr>
          <w:ilvl w:val="0"/>
          <w:numId w:val="0"/>
        </w:numPr>
        <w:tabs>
          <w:tab w:val="left" w:pos="312"/>
        </w:tabs>
        <w:spacing w:line="360" w:lineRule="auto"/>
        <w:ind w:firstLine="544" w:firstLineChars="200"/>
        <w:jc w:val="left"/>
        <w:rPr>
          <w:rStyle w:val="16"/>
          <w:rFonts w:hint="eastAsia" w:ascii="仿宋_GB2312" w:hAnsi="宋体" w:eastAsia="仿宋_GB2312"/>
          <w:b w:val="0"/>
          <w:bCs w:val="0"/>
          <w:spacing w:val="-4"/>
          <w:sz w:val="28"/>
          <w:szCs w:val="28"/>
          <w:lang w:val="en-US" w:eastAsia="zh-CN"/>
        </w:rPr>
      </w:pPr>
      <w:r>
        <w:rPr>
          <w:rStyle w:val="16"/>
          <w:rFonts w:hint="eastAsia" w:ascii="仿宋_GB2312" w:hAnsi="宋体" w:eastAsia="仿宋_GB2312"/>
          <w:b w:val="0"/>
          <w:bCs w:val="0"/>
          <w:spacing w:val="-4"/>
          <w:sz w:val="28"/>
          <w:szCs w:val="28"/>
          <w:lang w:val="en-US" w:eastAsia="zh-CN"/>
        </w:rPr>
        <w:t>我局基本经费中人员经费支出、公用支出严格执行政府的各项制度，保障全局工作正常运转，三公经费的使用严格控制在预算申报的范围内；在项目经费的使用上，在保证各项任务顺利完成的同时，严格落实厉行节约的原则。</w:t>
      </w:r>
    </w:p>
    <w:p>
      <w:pPr>
        <w:pStyle w:val="20"/>
        <w:numPr>
          <w:ilvl w:val="0"/>
          <w:numId w:val="0"/>
        </w:numPr>
        <w:tabs>
          <w:tab w:val="left" w:pos="312"/>
        </w:tabs>
        <w:spacing w:line="360" w:lineRule="auto"/>
        <w:ind w:firstLine="544" w:firstLineChars="200"/>
        <w:jc w:val="left"/>
        <w:rPr>
          <w:rStyle w:val="16"/>
          <w:rFonts w:ascii="仿宋_GB2312" w:eastAsia="仿宋_GB2312" w:hAnsiTheme="minorEastAsia"/>
          <w:b w:val="0"/>
          <w:spacing w:val="-4"/>
          <w:sz w:val="28"/>
          <w:szCs w:val="28"/>
        </w:rPr>
      </w:pPr>
      <w:r>
        <w:rPr>
          <w:rStyle w:val="16"/>
          <w:rFonts w:hint="eastAsia" w:ascii="仿宋_GB2312" w:hAnsi="宋体" w:eastAsia="仿宋_GB2312"/>
          <w:b w:val="0"/>
          <w:bCs w:val="0"/>
          <w:spacing w:val="-4"/>
          <w:sz w:val="28"/>
          <w:szCs w:val="28"/>
          <w:lang w:val="en-US" w:eastAsia="zh-CN"/>
        </w:rPr>
        <w:t>特克斯县商务和工业信息化局部门单位整体绩效目标共设置</w:t>
      </w:r>
      <w:r>
        <w:rPr>
          <w:rStyle w:val="16"/>
          <w:rFonts w:hint="eastAsia" w:ascii="仿宋_GB2312" w:eastAsia="仿宋_GB2312" w:hAnsiTheme="minorEastAsia"/>
          <w:b w:val="0"/>
          <w:spacing w:val="-4"/>
          <w:sz w:val="28"/>
          <w:szCs w:val="28"/>
        </w:rPr>
        <w:t>一级指标3 个，二级指标6个，三级指标 9个，详细说明如下</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1</w:t>
      </w:r>
      <w:r>
        <w:rPr>
          <w:rStyle w:val="16"/>
          <w:rFonts w:hint="eastAsia" w:ascii="仿宋_GB2312" w:hAnsi="宋体" w:eastAsia="仿宋_GB2312"/>
          <w:b w:val="0"/>
          <w:spacing w:val="-4"/>
          <w:sz w:val="28"/>
          <w:szCs w:val="28"/>
        </w:rPr>
        <w:t>、数量指标：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指标1：保障人数，指标值：≥48人，实际完成值：4</w:t>
      </w:r>
      <w:r>
        <w:rPr>
          <w:rStyle w:val="16"/>
          <w:rFonts w:hint="eastAsia" w:ascii="仿宋_GB2312" w:hAnsi="宋体" w:eastAsia="仿宋_GB2312"/>
          <w:b w:val="0"/>
          <w:spacing w:val="-4"/>
          <w:sz w:val="28"/>
          <w:szCs w:val="28"/>
          <w:highlight w:val="none"/>
          <w:lang w:val="en-US" w:eastAsia="zh-CN"/>
        </w:rPr>
        <w:t>9</w:t>
      </w:r>
      <w:r>
        <w:rPr>
          <w:rStyle w:val="16"/>
          <w:rFonts w:hint="eastAsia" w:ascii="仿宋_GB2312" w:hAnsi="宋体" w:eastAsia="仿宋_GB2312"/>
          <w:b w:val="0"/>
          <w:spacing w:val="-4"/>
          <w:sz w:val="28"/>
          <w:szCs w:val="28"/>
          <w:highlight w:val="none"/>
        </w:rPr>
        <w:t>人，指标完成率10</w:t>
      </w:r>
      <w:r>
        <w:rPr>
          <w:rStyle w:val="16"/>
          <w:rFonts w:hint="eastAsia" w:ascii="仿宋_GB2312" w:hAnsi="宋体" w:eastAsia="仿宋_GB2312"/>
          <w:b w:val="0"/>
          <w:spacing w:val="-4"/>
          <w:sz w:val="28"/>
          <w:szCs w:val="28"/>
          <w:highlight w:val="none"/>
          <w:lang w:val="en-US" w:eastAsia="zh-CN"/>
        </w:rPr>
        <w:t>2.08</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：取暖面积，指标值：≥460平方米，实际完成值：460平方米，指标完成率100%；</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、质量指标：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指标1：公用经费支出及时性，指标值：=100%，实际完成值：100%，指标完成率100%；</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：人员工资发放及社保缴纳准确率，指标值：=100%，实际完成值：100%，指标完成率100%；</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3</w:t>
      </w:r>
      <w:r>
        <w:rPr>
          <w:rStyle w:val="16"/>
          <w:rFonts w:hint="eastAsia" w:ascii="仿宋_GB2312" w:hAnsi="宋体" w:eastAsia="仿宋_GB2312"/>
          <w:b w:val="0"/>
          <w:spacing w:val="-4"/>
          <w:sz w:val="28"/>
          <w:szCs w:val="28"/>
          <w:highlight w:val="none"/>
        </w:rPr>
        <w:t>、时效指标：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指标1：人员工资发放及社保缴纳及时性 ，指标值：=100%，实际完成值：=100% ，指标完成率100%；</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4</w:t>
      </w:r>
      <w:r>
        <w:rPr>
          <w:rStyle w:val="16"/>
          <w:rFonts w:hint="eastAsia" w:ascii="仿宋_GB2312" w:hAnsi="宋体" w:eastAsia="仿宋_GB2312"/>
          <w:b w:val="0"/>
          <w:spacing w:val="-4"/>
          <w:sz w:val="28"/>
          <w:szCs w:val="28"/>
          <w:highlight w:val="none"/>
        </w:rPr>
        <w:t>、成本指标</w:t>
      </w:r>
      <w:r>
        <w:rPr>
          <w:rStyle w:val="16"/>
          <w:rFonts w:hint="eastAsia" w:ascii="仿宋_GB2312" w:hAnsi="宋体" w:eastAsia="仿宋_GB2312"/>
          <w:b w:val="0"/>
          <w:spacing w:val="-4"/>
          <w:sz w:val="28"/>
          <w:szCs w:val="28"/>
          <w:highlight w:val="none"/>
          <w:lang w:val="en-US" w:eastAsia="zh-CN"/>
        </w:rPr>
        <w:t>1</w:t>
      </w:r>
      <w:r>
        <w:rPr>
          <w:rStyle w:val="16"/>
          <w:rFonts w:hint="eastAsia" w:ascii="仿宋_GB2312" w:hAnsi="宋体" w:eastAsia="仿宋_GB2312"/>
          <w:b w:val="0"/>
          <w:spacing w:val="-4"/>
          <w:sz w:val="28"/>
          <w:szCs w:val="28"/>
          <w:highlight w:val="none"/>
        </w:rPr>
        <w:t>：</w:t>
      </w:r>
      <w:r>
        <w:rPr>
          <w:rStyle w:val="16"/>
          <w:rFonts w:hint="eastAsia" w:ascii="仿宋_GB2312" w:hAnsi="宋体" w:eastAsia="仿宋_GB2312"/>
          <w:b w:val="0"/>
          <w:spacing w:val="-4"/>
          <w:sz w:val="28"/>
          <w:szCs w:val="28"/>
          <w:highlight w:val="none"/>
          <w:lang w:val="en-US" w:eastAsia="zh-CN"/>
        </w:rPr>
        <w:t>人均支出标准</w:t>
      </w:r>
      <w:r>
        <w:rPr>
          <w:rStyle w:val="16"/>
          <w:rFonts w:hint="eastAsia" w:ascii="仿宋_GB2312" w:hAnsi="宋体" w:eastAsia="仿宋_GB2312"/>
          <w:b w:val="0"/>
          <w:spacing w:val="-4"/>
          <w:sz w:val="28"/>
          <w:szCs w:val="28"/>
          <w:highlight w:val="none"/>
        </w:rPr>
        <w:t>指标值≤</w:t>
      </w:r>
      <w:r>
        <w:rPr>
          <w:rStyle w:val="16"/>
          <w:rFonts w:hint="eastAsia" w:ascii="仿宋_GB2312" w:hAnsi="宋体" w:eastAsia="仿宋_GB2312"/>
          <w:b w:val="0"/>
          <w:spacing w:val="-4"/>
          <w:sz w:val="28"/>
          <w:szCs w:val="28"/>
          <w:highlight w:val="none"/>
          <w:lang w:val="en-US" w:eastAsia="zh-CN"/>
        </w:rPr>
        <w:t>4.7</w:t>
      </w:r>
      <w:r>
        <w:rPr>
          <w:rStyle w:val="16"/>
          <w:rFonts w:hint="eastAsia" w:ascii="仿宋_GB2312" w:hAnsi="宋体" w:eastAsia="仿宋_GB2312"/>
          <w:b w:val="0"/>
          <w:spacing w:val="-4"/>
          <w:sz w:val="28"/>
          <w:szCs w:val="28"/>
          <w:highlight w:val="none"/>
        </w:rPr>
        <w:t>万元，实际完成值：</w:t>
      </w:r>
      <w:r>
        <w:rPr>
          <w:rStyle w:val="16"/>
          <w:rFonts w:hint="eastAsia" w:ascii="仿宋_GB2312" w:hAnsi="宋体" w:eastAsia="仿宋_GB2312"/>
          <w:b w:val="0"/>
          <w:spacing w:val="-4"/>
          <w:sz w:val="28"/>
          <w:szCs w:val="28"/>
          <w:highlight w:val="none"/>
          <w:lang w:val="en-US" w:eastAsia="zh-CN"/>
        </w:rPr>
        <w:t>4.7万元</w:t>
      </w:r>
      <w:r>
        <w:rPr>
          <w:rStyle w:val="16"/>
          <w:rFonts w:hint="eastAsia" w:ascii="仿宋_GB2312" w:hAnsi="宋体" w:eastAsia="仿宋_GB2312"/>
          <w:b w:val="0"/>
          <w:spacing w:val="-4"/>
          <w:sz w:val="28"/>
          <w:szCs w:val="28"/>
          <w:highlight w:val="none"/>
        </w:rPr>
        <w:t xml:space="preserve">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：人均运转经费数，指标值：≤</w:t>
      </w:r>
      <w:r>
        <w:rPr>
          <w:rStyle w:val="16"/>
          <w:rFonts w:hint="eastAsia" w:ascii="仿宋_GB2312" w:hAnsi="宋体" w:eastAsia="仿宋_GB2312"/>
          <w:b w:val="0"/>
          <w:spacing w:val="-4"/>
          <w:sz w:val="28"/>
          <w:szCs w:val="28"/>
          <w:highlight w:val="none"/>
          <w:lang w:val="en-US" w:eastAsia="zh-CN"/>
        </w:rPr>
        <w:t>0.35</w:t>
      </w:r>
      <w:r>
        <w:rPr>
          <w:rStyle w:val="16"/>
          <w:rFonts w:hint="eastAsia" w:ascii="仿宋_GB2312" w:hAnsi="宋体" w:eastAsia="仿宋_GB2312"/>
          <w:b w:val="0"/>
          <w:spacing w:val="-4"/>
          <w:sz w:val="28"/>
          <w:szCs w:val="28"/>
          <w:highlight w:val="none"/>
        </w:rPr>
        <w:t>万元，实际完成值</w:t>
      </w:r>
      <w:r>
        <w:rPr>
          <w:rStyle w:val="16"/>
          <w:rFonts w:hint="eastAsia" w:ascii="仿宋_GB2312" w:hAnsi="宋体" w:eastAsia="仿宋_GB2312"/>
          <w:b w:val="0"/>
          <w:spacing w:val="-4"/>
          <w:sz w:val="28"/>
          <w:szCs w:val="28"/>
          <w:highlight w:val="none"/>
          <w:lang w:val="en-US" w:eastAsia="zh-CN"/>
        </w:rPr>
        <w:t>0.35</w:t>
      </w:r>
      <w:r>
        <w:rPr>
          <w:rStyle w:val="16"/>
          <w:rFonts w:hint="eastAsia" w:ascii="仿宋_GB2312" w:hAnsi="宋体" w:eastAsia="仿宋_GB2312"/>
          <w:b w:val="0"/>
          <w:spacing w:val="-4"/>
          <w:sz w:val="28"/>
          <w:szCs w:val="28"/>
          <w:highlight w:val="none"/>
        </w:rPr>
        <w:t>万元，指标完成率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5</w:t>
      </w:r>
      <w:r>
        <w:rPr>
          <w:rStyle w:val="16"/>
          <w:rFonts w:hint="eastAsia" w:ascii="仿宋_GB2312" w:hAnsi="宋体" w:eastAsia="仿宋_GB2312"/>
          <w:b w:val="0"/>
          <w:spacing w:val="-4"/>
          <w:sz w:val="28"/>
          <w:szCs w:val="28"/>
          <w:highlight w:val="none"/>
        </w:rPr>
        <w:t>、经济效益指标：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指标1：提高人员工作积极性，指标值：有效提高，实际完成值：明显提高，指标完成率100%；</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lang w:val="en-US" w:eastAsia="zh-CN"/>
        </w:rPr>
        <w:t>6</w:t>
      </w:r>
      <w:r>
        <w:rPr>
          <w:rStyle w:val="16"/>
          <w:rFonts w:hint="eastAsia" w:ascii="仿宋_GB2312" w:hAnsi="宋体" w:eastAsia="仿宋_GB2312"/>
          <w:b w:val="0"/>
          <w:spacing w:val="-4"/>
          <w:sz w:val="28"/>
          <w:szCs w:val="28"/>
          <w:highlight w:val="none"/>
        </w:rPr>
        <w:t>、满意度指标：</w:t>
      </w:r>
    </w:p>
    <w:p>
      <w:pPr>
        <w:snapToGrid w:val="0"/>
        <w:spacing w:line="360" w:lineRule="auto"/>
        <w:ind w:firstLine="544" w:firstLineChars="200"/>
        <w:rPr>
          <w:rStyle w:val="16"/>
          <w:rFonts w:hint="eastAsia" w:ascii="仿宋_GB2312" w:hAnsi="宋体" w:eastAsia="仿宋_GB2312"/>
          <w:b w:val="0"/>
          <w:spacing w:val="-4"/>
          <w:sz w:val="28"/>
          <w:szCs w:val="28"/>
          <w:highlight w:val="none"/>
          <w:lang w:eastAsia="zh-CN"/>
        </w:rPr>
      </w:pPr>
      <w:r>
        <w:rPr>
          <w:rStyle w:val="16"/>
          <w:rFonts w:hint="eastAsia" w:ascii="仿宋_GB2312" w:hAnsi="宋体" w:eastAsia="仿宋_GB2312"/>
          <w:b w:val="0"/>
          <w:spacing w:val="-4"/>
          <w:sz w:val="28"/>
          <w:szCs w:val="28"/>
          <w:highlight w:val="none"/>
        </w:rPr>
        <w:t>指标1：干部职工满意度，指标值：≥95% ，实际完成值：9</w:t>
      </w:r>
      <w:r>
        <w:rPr>
          <w:rStyle w:val="16"/>
          <w:rFonts w:hint="eastAsia" w:ascii="仿宋_GB2312" w:hAnsi="宋体" w:eastAsia="仿宋_GB2312"/>
          <w:b w:val="0"/>
          <w:spacing w:val="-4"/>
          <w:sz w:val="28"/>
          <w:szCs w:val="28"/>
          <w:highlight w:val="none"/>
          <w:lang w:val="en-US" w:eastAsia="zh-CN"/>
        </w:rPr>
        <w:t>5</w:t>
      </w:r>
      <w:r>
        <w:rPr>
          <w:rStyle w:val="16"/>
          <w:rFonts w:hint="eastAsia" w:ascii="仿宋_GB2312" w:hAnsi="宋体" w:eastAsia="仿宋_GB2312"/>
          <w:b w:val="0"/>
          <w:spacing w:val="-4"/>
          <w:sz w:val="28"/>
          <w:szCs w:val="28"/>
          <w:highlight w:val="none"/>
        </w:rPr>
        <w:t>%，指标完成率100%</w:t>
      </w:r>
      <w:r>
        <w:rPr>
          <w:rStyle w:val="16"/>
          <w:rFonts w:hint="eastAsia" w:ascii="仿宋_GB2312" w:hAnsi="宋体" w:eastAsia="仿宋_GB2312"/>
          <w:b w:val="0"/>
          <w:spacing w:val="-4"/>
          <w:sz w:val="28"/>
          <w:szCs w:val="28"/>
          <w:highlight w:val="none"/>
          <w:lang w:eastAsia="zh-CN"/>
        </w:rPr>
        <w:t>。</w:t>
      </w:r>
    </w:p>
    <w:p>
      <w:pPr>
        <w:pStyle w:val="3"/>
        <w:spacing w:line="360" w:lineRule="auto"/>
        <w:rPr>
          <w:rFonts w:ascii="仿宋" w:hAnsi="仿宋" w:eastAsia="仿宋"/>
          <w:sz w:val="36"/>
          <w:szCs w:val="36"/>
        </w:rPr>
      </w:pPr>
      <w:bookmarkStart w:id="27" w:name="_Toc70450317"/>
      <w:r>
        <w:rPr>
          <w:rFonts w:hint="eastAsia" w:ascii="仿宋" w:hAnsi="仿宋" w:eastAsia="仿宋"/>
          <w:sz w:val="36"/>
          <w:szCs w:val="36"/>
        </w:rPr>
        <w:t>六、存在的主要问题</w:t>
      </w:r>
      <w:bookmarkEnd w:id="27"/>
    </w:p>
    <w:p>
      <w:pPr>
        <w:snapToGrid w:val="0"/>
        <w:spacing w:line="360" w:lineRule="auto"/>
        <w:ind w:firstLine="544" w:firstLineChars="200"/>
        <w:rPr>
          <w:rStyle w:val="16"/>
          <w:rFonts w:hint="eastAsia"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(一)预算执行存在偏差</w:t>
      </w:r>
    </w:p>
    <w:p>
      <w:pPr>
        <w:snapToGrid w:val="0"/>
        <w:spacing w:line="360" w:lineRule="auto"/>
        <w:ind w:firstLine="544" w:firstLineChars="200"/>
        <w:rPr>
          <w:rStyle w:val="16"/>
          <w:rFonts w:hint="eastAsia"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lang w:eastAsia="zh-CN"/>
        </w:rPr>
        <w:t>（</w:t>
      </w:r>
      <w:r>
        <w:rPr>
          <w:rStyle w:val="16"/>
          <w:rFonts w:hint="eastAsia" w:ascii="仿宋_GB2312" w:hAnsi="宋体" w:eastAsia="仿宋_GB2312"/>
          <w:b w:val="0"/>
          <w:spacing w:val="-4"/>
          <w:sz w:val="28"/>
          <w:szCs w:val="28"/>
          <w:highlight w:val="none"/>
          <w:lang w:val="en-US" w:eastAsia="zh-CN"/>
        </w:rPr>
        <w:t>一</w:t>
      </w:r>
      <w:r>
        <w:rPr>
          <w:rStyle w:val="16"/>
          <w:rFonts w:hint="eastAsia" w:ascii="仿宋_GB2312" w:hAnsi="宋体" w:eastAsia="仿宋_GB2312"/>
          <w:b w:val="0"/>
          <w:spacing w:val="-4"/>
          <w:sz w:val="28"/>
          <w:szCs w:val="28"/>
          <w:highlight w:val="none"/>
          <w:lang w:eastAsia="zh-CN"/>
        </w:rPr>
        <w:t>）</w:t>
      </w:r>
      <w:r>
        <w:rPr>
          <w:rStyle w:val="16"/>
          <w:rFonts w:hint="eastAsia" w:ascii="仿宋_GB2312" w:hAnsi="宋体" w:eastAsia="仿宋_GB2312"/>
          <w:b w:val="0"/>
          <w:spacing w:val="-4"/>
          <w:sz w:val="28"/>
          <w:szCs w:val="28"/>
          <w:highlight w:val="none"/>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snapToGrid w:val="0"/>
        <w:spacing w:line="360" w:lineRule="auto"/>
        <w:ind w:firstLine="544" w:firstLineChars="200"/>
        <w:rPr>
          <w:rStyle w:val="16"/>
          <w:rFonts w:hint="eastAsia"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lang w:eastAsia="zh-CN"/>
        </w:rPr>
        <w:t>（</w:t>
      </w:r>
      <w:r>
        <w:rPr>
          <w:rStyle w:val="16"/>
          <w:rFonts w:hint="eastAsia" w:ascii="仿宋_GB2312" w:hAnsi="宋体" w:eastAsia="仿宋_GB2312"/>
          <w:b w:val="0"/>
          <w:spacing w:val="-4"/>
          <w:sz w:val="28"/>
          <w:szCs w:val="28"/>
          <w:highlight w:val="none"/>
          <w:lang w:val="en-US" w:eastAsia="zh-CN"/>
        </w:rPr>
        <w:t>二</w:t>
      </w:r>
      <w:r>
        <w:rPr>
          <w:rStyle w:val="16"/>
          <w:rFonts w:hint="eastAsia" w:ascii="仿宋_GB2312" w:hAnsi="宋体" w:eastAsia="仿宋_GB2312"/>
          <w:b w:val="0"/>
          <w:spacing w:val="-4"/>
          <w:sz w:val="28"/>
          <w:szCs w:val="28"/>
          <w:highlight w:val="none"/>
          <w:lang w:eastAsia="zh-CN"/>
        </w:rPr>
        <w:t>）</w:t>
      </w:r>
      <w:r>
        <w:rPr>
          <w:rStyle w:val="16"/>
          <w:rFonts w:hint="eastAsia" w:ascii="仿宋_GB2312" w:hAnsi="宋体" w:eastAsia="仿宋_GB2312"/>
          <w:b w:val="0"/>
          <w:spacing w:val="-4"/>
          <w:sz w:val="28"/>
          <w:szCs w:val="28"/>
          <w:highlight w:val="none"/>
        </w:rPr>
        <w:t>项目细化管理工作不足。预算执行存在偏差。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snapToGrid w:val="0"/>
        <w:spacing w:line="360" w:lineRule="auto"/>
        <w:ind w:firstLine="544" w:firstLineChars="200"/>
        <w:rPr>
          <w:rStyle w:val="16"/>
          <w:rFonts w:hint="eastAsia"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三）预算绩效管理水平仍有欠缺。在预算绩效管理工作中，存在“重投入轻管理、重支出轻绩效”的情况，对全面实施预算绩效管理的要求认识还不到位，项目申报、实施等环节与预算绩效管理各个环节联系不够紧密。</w:t>
      </w:r>
    </w:p>
    <w:p>
      <w:pPr>
        <w:snapToGrid w:val="0"/>
        <w:spacing w:line="360" w:lineRule="auto"/>
        <w:ind w:firstLine="544" w:firstLineChars="200"/>
        <w:rPr>
          <w:rStyle w:val="16"/>
          <w:rFonts w:hint="eastAsia"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（四）固定资产管理水平有待提高。固定资产台账未及时与账面资产金额对账且末与实物进行清点及及时清理处置报废资产导致资产台账与账面资产金额存在差异,固定资产管理继续加强中。</w:t>
      </w:r>
    </w:p>
    <w:p>
      <w:pPr>
        <w:pStyle w:val="3"/>
        <w:spacing w:line="360" w:lineRule="auto"/>
        <w:rPr>
          <w:rFonts w:ascii="仿宋" w:hAnsi="仿宋" w:eastAsia="仿宋"/>
          <w:sz w:val="36"/>
          <w:szCs w:val="36"/>
        </w:rPr>
      </w:pPr>
      <w:bookmarkStart w:id="28" w:name="_Toc70450318"/>
      <w:r>
        <w:rPr>
          <w:rFonts w:hint="eastAsia" w:ascii="仿宋" w:hAnsi="仿宋" w:eastAsia="仿宋"/>
          <w:sz w:val="36"/>
          <w:szCs w:val="36"/>
        </w:rPr>
        <w:t>七、改进措施和建议</w:t>
      </w:r>
      <w:bookmarkEnd w:id="28"/>
    </w:p>
    <w:p>
      <w:pPr>
        <w:pStyle w:val="4"/>
        <w:spacing w:line="360" w:lineRule="auto"/>
        <w:rPr>
          <w:rStyle w:val="16"/>
          <w:rFonts w:ascii="仿宋" w:hAnsi="仿宋" w:eastAsia="仿宋"/>
          <w:b/>
          <w:bCs/>
        </w:rPr>
      </w:pPr>
      <w:bookmarkStart w:id="29" w:name="_Toc70450319"/>
      <w:r>
        <w:rPr>
          <w:rStyle w:val="16"/>
          <w:rFonts w:hint="eastAsia" w:ascii="仿宋" w:hAnsi="仿宋" w:eastAsia="仿宋"/>
          <w:b/>
          <w:bCs/>
        </w:rPr>
        <w:t>（一）改进措施</w:t>
      </w:r>
      <w:bookmarkEnd w:id="29"/>
    </w:p>
    <w:p>
      <w:pPr>
        <w:snapToGrid w:val="0"/>
        <w:spacing w:line="360" w:lineRule="auto"/>
        <w:ind w:firstLine="544" w:firstLineChars="200"/>
        <w:rPr>
          <w:rStyle w:val="16"/>
          <w:rFonts w:hint="eastAsia"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(一)加强新行政单位会计制度和新预算法学习培训、规范账务处理，加强新《预算法》、《行政单位会计制度》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snapToGrid w:val="0"/>
        <w:spacing w:line="360" w:lineRule="auto"/>
        <w:ind w:firstLine="544" w:firstLineChars="200"/>
        <w:rPr>
          <w:rStyle w:val="16"/>
          <w:rFonts w:hint="eastAsia"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(二)完善管理制度,进-步加强资产管理。严格按照《固定资产管理办法》的规定，加强固定资产管理,及时登记、更新台账，加强资产卡片管理,对各类实物资产进行全面盘点,确保账账、账实相符。</w:t>
      </w:r>
    </w:p>
    <w:p>
      <w:pPr>
        <w:snapToGrid w:val="0"/>
        <w:spacing w:line="360" w:lineRule="auto"/>
        <w:ind w:firstLine="544" w:firstLineChars="200"/>
        <w:rPr>
          <w:rStyle w:val="16"/>
          <w:rFonts w:hint="eastAsia"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（三）加强学习。进一步明确如何参照考核体系，科学合理设定绩效目标，充分发挥预算绩效管理工作效用。</w:t>
      </w:r>
    </w:p>
    <w:p>
      <w:pPr>
        <w:spacing w:line="360" w:lineRule="auto"/>
        <w:rPr>
          <w:rFonts w:ascii="仿宋" w:hAnsi="仿宋" w:eastAsia="仿宋"/>
          <w:sz w:val="22"/>
          <w:szCs w:val="28"/>
        </w:rPr>
      </w:pPr>
    </w:p>
    <w:p>
      <w:pPr>
        <w:pStyle w:val="4"/>
        <w:spacing w:line="360" w:lineRule="auto"/>
        <w:rPr>
          <w:rStyle w:val="16"/>
          <w:rFonts w:ascii="仿宋" w:hAnsi="仿宋" w:eastAsia="仿宋"/>
          <w:b/>
          <w:bCs/>
        </w:rPr>
      </w:pPr>
      <w:bookmarkStart w:id="30" w:name="_Toc70450320"/>
      <w:r>
        <w:rPr>
          <w:rStyle w:val="16"/>
          <w:rFonts w:hint="eastAsia" w:ascii="仿宋" w:hAnsi="仿宋" w:eastAsia="仿宋"/>
          <w:b/>
          <w:bCs/>
        </w:rPr>
        <w:t>（二）建议</w:t>
      </w:r>
      <w:bookmarkEnd w:id="30"/>
    </w:p>
    <w:p>
      <w:pPr>
        <w:pStyle w:val="12"/>
        <w:widowControl/>
        <w:spacing w:before="40" w:beforeAutospacing="0" w:after="0" w:afterAutospacing="0" w:line="520" w:lineRule="atLeast"/>
        <w:ind w:firstLine="544" w:firstLineChars="200"/>
        <w:jc w:val="both"/>
        <w:rPr>
          <w:rStyle w:val="16"/>
          <w:rFonts w:hint="eastAsia" w:ascii="仿宋_GB2312" w:hAnsi="宋体" w:eastAsia="仿宋_GB2312" w:cstheme="minorBidi"/>
          <w:b w:val="0"/>
          <w:color w:val="auto"/>
          <w:spacing w:val="-4"/>
          <w:kern w:val="2"/>
          <w:sz w:val="28"/>
          <w:szCs w:val="28"/>
          <w:highlight w:val="none"/>
          <w:lang w:val="en-US" w:eastAsia="zh-CN" w:bidi="ar-SA"/>
        </w:rPr>
      </w:pPr>
      <w:r>
        <w:rPr>
          <w:rStyle w:val="16"/>
          <w:rFonts w:hint="eastAsia" w:ascii="仿宋_GB2312" w:hAnsi="宋体" w:eastAsia="仿宋_GB2312" w:cstheme="minorBidi"/>
          <w:b w:val="0"/>
          <w:color w:val="auto"/>
          <w:spacing w:val="-4"/>
          <w:kern w:val="2"/>
          <w:sz w:val="28"/>
          <w:szCs w:val="28"/>
          <w:highlight w:val="none"/>
          <w:lang w:val="en-US" w:eastAsia="zh-CN" w:bidi="ar-SA"/>
        </w:rPr>
        <w:t>（一）财务上，会计核算应该更加详细，为本单位各项工作的开展、总结、评估提供有效数据资料支撑,为各项业务工作更好的开展提供帮助。</w:t>
      </w:r>
    </w:p>
    <w:p>
      <w:pPr>
        <w:pStyle w:val="12"/>
        <w:widowControl/>
        <w:spacing w:before="40" w:beforeAutospacing="0" w:after="0" w:afterAutospacing="0" w:line="520" w:lineRule="atLeast"/>
        <w:ind w:firstLine="544" w:firstLineChars="200"/>
        <w:jc w:val="both"/>
        <w:rPr>
          <w:rStyle w:val="16"/>
          <w:rFonts w:hint="eastAsia" w:ascii="仿宋_GB2312" w:hAnsi="宋体" w:eastAsia="仿宋_GB2312" w:cstheme="minorBidi"/>
          <w:b w:val="0"/>
          <w:color w:val="auto"/>
          <w:spacing w:val="-4"/>
          <w:kern w:val="2"/>
          <w:sz w:val="28"/>
          <w:szCs w:val="28"/>
          <w:highlight w:val="none"/>
          <w:lang w:val="en-US" w:eastAsia="zh-CN" w:bidi="ar-SA"/>
        </w:rPr>
      </w:pPr>
      <w:r>
        <w:rPr>
          <w:rStyle w:val="16"/>
          <w:rFonts w:hint="eastAsia" w:ascii="仿宋_GB2312" w:hAnsi="宋体" w:eastAsia="仿宋_GB2312" w:cstheme="minorBidi"/>
          <w:b w:val="0"/>
          <w:color w:val="auto"/>
          <w:spacing w:val="-4"/>
          <w:kern w:val="2"/>
          <w:sz w:val="28"/>
          <w:szCs w:val="28"/>
          <w:highlight w:val="none"/>
          <w:lang w:val="en-US" w:eastAsia="zh-CN" w:bidi="ar-SA"/>
        </w:rPr>
        <w:t>（二）应从源头上强化对专项资金预算管理。实行专项资金预算管理，结合单位实际, 按轻重缓急统筹安排编制预算,提高预算编制科学性和合理性,优化资金结构。</w:t>
      </w:r>
    </w:p>
    <w:p>
      <w:pPr>
        <w:pStyle w:val="12"/>
        <w:widowControl/>
        <w:spacing w:before="40" w:beforeAutospacing="0" w:after="0" w:afterAutospacing="0" w:line="520" w:lineRule="atLeast"/>
        <w:ind w:firstLine="544" w:firstLineChars="200"/>
        <w:jc w:val="both"/>
        <w:rPr>
          <w:rStyle w:val="16"/>
          <w:rFonts w:hint="eastAsia" w:ascii="仿宋_GB2312" w:hAnsi="宋体" w:eastAsia="仿宋_GB2312" w:cstheme="minorBidi"/>
          <w:b w:val="0"/>
          <w:color w:val="auto"/>
          <w:spacing w:val="-4"/>
          <w:kern w:val="2"/>
          <w:sz w:val="28"/>
          <w:szCs w:val="28"/>
          <w:highlight w:val="none"/>
          <w:lang w:val="en-US" w:eastAsia="zh-CN" w:bidi="ar-SA"/>
        </w:rPr>
      </w:pPr>
      <w:r>
        <w:rPr>
          <w:rStyle w:val="16"/>
          <w:rFonts w:hint="eastAsia" w:ascii="仿宋_GB2312" w:hAnsi="宋体" w:eastAsia="仿宋_GB2312" w:cstheme="minorBidi"/>
          <w:b w:val="0"/>
          <w:color w:val="auto"/>
          <w:spacing w:val="-4"/>
          <w:kern w:val="2"/>
          <w:sz w:val="28"/>
          <w:szCs w:val="28"/>
          <w:highlight w:val="none"/>
          <w:lang w:val="en-US" w:eastAsia="zh-CN" w:bidi="ar-SA"/>
        </w:rPr>
        <w:t>（三）建议按时间进度分解资金使用计划。专项资金的使用，要事前做计划，事中进行控制，事后总结提高。合理安排资金使用,充分体现资金投向的目标和效益。</w:t>
      </w:r>
    </w:p>
    <w:p>
      <w:pPr>
        <w:pStyle w:val="12"/>
        <w:widowControl/>
        <w:spacing w:before="40" w:beforeAutospacing="0" w:after="0" w:afterAutospacing="0" w:line="520" w:lineRule="atLeast"/>
        <w:ind w:firstLine="544" w:firstLineChars="200"/>
        <w:jc w:val="both"/>
        <w:rPr>
          <w:rStyle w:val="16"/>
          <w:rFonts w:hint="eastAsia" w:ascii="仿宋_GB2312" w:hAnsi="宋体" w:eastAsia="仿宋_GB2312" w:cstheme="minorBidi"/>
          <w:b w:val="0"/>
          <w:color w:val="auto"/>
          <w:spacing w:val="-4"/>
          <w:kern w:val="2"/>
          <w:sz w:val="28"/>
          <w:szCs w:val="28"/>
          <w:highlight w:val="none"/>
          <w:lang w:val="en-US" w:eastAsia="zh-CN" w:bidi="ar-SA"/>
        </w:rPr>
      </w:pPr>
      <w:r>
        <w:rPr>
          <w:rStyle w:val="16"/>
          <w:rFonts w:hint="eastAsia" w:ascii="仿宋_GB2312" w:hAnsi="宋体" w:eastAsia="仿宋_GB2312" w:cstheme="minorBidi"/>
          <w:b w:val="0"/>
          <w:color w:val="auto"/>
          <w:spacing w:val="-4"/>
          <w:kern w:val="2"/>
          <w:sz w:val="28"/>
          <w:szCs w:val="28"/>
          <w:highlight w:val="none"/>
          <w:lang w:val="en-US" w:eastAsia="zh-CN" w:bidi="ar-SA"/>
        </w:rPr>
        <w:t>（四）绩效管理水平应进一步提高。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spacing w:line="360" w:lineRule="auto"/>
        <w:rPr>
          <w:rStyle w:val="16"/>
          <w:rFonts w:hint="eastAsia" w:ascii="仿宋_GB2312" w:hAnsi="宋体" w:eastAsia="仿宋_GB2312" w:cstheme="minorBidi"/>
          <w:b w:val="0"/>
          <w:color w:val="auto"/>
          <w:spacing w:val="-4"/>
          <w:kern w:val="2"/>
          <w:sz w:val="28"/>
          <w:szCs w:val="28"/>
          <w:highlight w:val="none"/>
          <w:lang w:val="en-US" w:eastAsia="zh-CN" w:bidi="ar-SA"/>
        </w:rPr>
      </w:pPr>
    </w:p>
    <w:p>
      <w:pPr>
        <w:pStyle w:val="3"/>
        <w:spacing w:line="360" w:lineRule="auto"/>
        <w:rPr>
          <w:rStyle w:val="16"/>
          <w:rFonts w:ascii="仿宋" w:hAnsi="仿宋" w:eastAsia="仿宋"/>
          <w:b/>
          <w:bCs/>
          <w:sz w:val="36"/>
          <w:szCs w:val="36"/>
        </w:rPr>
      </w:pPr>
      <w:bookmarkStart w:id="31" w:name="_Toc70450321"/>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2" w:name="_Hlk70450148"/>
      <w:r>
        <w:rPr>
          <w:rStyle w:val="16"/>
          <w:rFonts w:hint="eastAsia" w:ascii="仿宋" w:hAnsi="仿宋" w:eastAsia="仿宋"/>
          <w:b/>
          <w:bCs/>
          <w:sz w:val="36"/>
          <w:szCs w:val="36"/>
        </w:rPr>
        <w:t>《部门整体支出绩效目标自评表》</w:t>
      </w:r>
      <w:bookmarkEnd w:id="31"/>
      <w:bookmarkEnd w:id="32"/>
    </w:p>
    <w:p>
      <w:r>
        <w:br w:type="page"/>
      </w:r>
    </w:p>
    <w:tbl>
      <w:tblPr>
        <w:tblStyle w:val="14"/>
        <w:tblW w:w="10077" w:type="dxa"/>
        <w:tblInd w:w="93" w:type="dxa"/>
        <w:tblLayout w:type="fixed"/>
        <w:tblCellMar>
          <w:top w:w="0" w:type="dxa"/>
          <w:left w:w="108" w:type="dxa"/>
          <w:bottom w:w="0" w:type="dxa"/>
          <w:right w:w="108" w:type="dxa"/>
        </w:tblCellMar>
      </w:tblPr>
      <w:tblGrid>
        <w:gridCol w:w="533"/>
        <w:gridCol w:w="701"/>
        <w:gridCol w:w="236"/>
        <w:gridCol w:w="779"/>
        <w:gridCol w:w="318"/>
        <w:gridCol w:w="216"/>
        <w:gridCol w:w="689"/>
        <w:gridCol w:w="707"/>
        <w:gridCol w:w="89"/>
        <w:gridCol w:w="709"/>
        <w:gridCol w:w="383"/>
        <w:gridCol w:w="325"/>
        <w:gridCol w:w="567"/>
        <w:gridCol w:w="542"/>
        <w:gridCol w:w="167"/>
        <w:gridCol w:w="567"/>
        <w:gridCol w:w="709"/>
        <w:gridCol w:w="1840"/>
      </w:tblGrid>
      <w:tr>
        <w:tblPrEx>
          <w:tblCellMar>
            <w:top w:w="0" w:type="dxa"/>
            <w:left w:w="108" w:type="dxa"/>
            <w:bottom w:w="0" w:type="dxa"/>
            <w:right w:w="108" w:type="dxa"/>
          </w:tblCellMar>
        </w:tblPrEx>
        <w:trPr>
          <w:gridAfter w:val="1"/>
          <w:wAfter w:w="1840" w:type="dxa"/>
          <w:trHeight w:val="405" w:hRule="atLeast"/>
        </w:trPr>
        <w:tc>
          <w:tcPr>
            <w:tcW w:w="8237" w:type="dxa"/>
            <w:gridSpan w:val="17"/>
            <w:tcBorders>
              <w:top w:val="nil"/>
              <w:left w:val="nil"/>
              <w:bottom w:val="nil"/>
              <w:right w:val="nil"/>
            </w:tcBorders>
            <w:shd w:val="clear" w:color="auto" w:fill="auto"/>
            <w:vAlign w:val="center"/>
          </w:tcPr>
          <w:p>
            <w:pPr>
              <w:widowControl/>
              <w:spacing w:line="640" w:lineRule="exact"/>
              <w:rPr>
                <w:rFonts w:ascii="宋体" w:hAnsi="宋体" w:eastAsia="宋体" w:cs="宋体"/>
                <w:b/>
                <w:bCs/>
                <w:kern w:val="0"/>
                <w:sz w:val="32"/>
                <w:szCs w:val="32"/>
              </w:rPr>
            </w:pPr>
          </w:p>
          <w:p>
            <w:pPr>
              <w:widowControl/>
              <w:spacing w:line="640" w:lineRule="exact"/>
              <w:jc w:val="center"/>
              <w:rPr>
                <w:rFonts w:ascii="方正小标宋_GBK" w:hAnsi="宋体" w:eastAsia="方正小标宋_GBK" w:cs="宋体"/>
                <w:kern w:val="0"/>
                <w:sz w:val="44"/>
                <w:szCs w:val="44"/>
              </w:rPr>
            </w:pPr>
            <w:r>
              <w:rPr>
                <w:rFonts w:hint="eastAsia" w:ascii="方正小标宋_GBK" w:hAnsi="宋体" w:eastAsia="方正小标宋_GBK" w:cs="宋体"/>
                <w:kern w:val="0"/>
                <w:sz w:val="44"/>
                <w:szCs w:val="44"/>
              </w:rPr>
              <w:t>部门整体支出绩效目标自评表</w:t>
            </w:r>
          </w:p>
        </w:tc>
      </w:tr>
      <w:tr>
        <w:tblPrEx>
          <w:tblCellMar>
            <w:top w:w="0" w:type="dxa"/>
            <w:left w:w="108" w:type="dxa"/>
            <w:bottom w:w="0" w:type="dxa"/>
            <w:right w:w="108" w:type="dxa"/>
          </w:tblCellMar>
        </w:tblPrEx>
        <w:trPr>
          <w:gridAfter w:val="1"/>
          <w:wAfter w:w="1840" w:type="dxa"/>
          <w:trHeight w:val="285" w:hRule="atLeast"/>
        </w:trPr>
        <w:tc>
          <w:tcPr>
            <w:tcW w:w="8237" w:type="dxa"/>
            <w:gridSpan w:val="17"/>
            <w:tcBorders>
              <w:top w:val="nil"/>
              <w:left w:val="nil"/>
              <w:bottom w:val="nil"/>
              <w:right w:val="nil"/>
            </w:tcBorders>
            <w:shd w:val="clear" w:color="auto" w:fill="auto"/>
            <w:vAlign w:val="center"/>
          </w:tcPr>
          <w:p>
            <w:pPr>
              <w:widowControl/>
              <w:spacing w:line="640" w:lineRule="exact"/>
              <w:jc w:val="center"/>
              <w:rPr>
                <w:rFonts w:ascii="宋体" w:hAnsi="宋体" w:eastAsia="宋体" w:cs="宋体"/>
                <w:kern w:val="0"/>
                <w:sz w:val="24"/>
              </w:rPr>
            </w:pPr>
            <w:r>
              <w:rPr>
                <w:rFonts w:hint="eastAsia" w:ascii="宋体" w:hAnsi="宋体" w:eastAsia="宋体" w:cs="宋体"/>
                <w:kern w:val="0"/>
                <w:sz w:val="24"/>
              </w:rPr>
              <w:t>（2021年度）</w:t>
            </w:r>
          </w:p>
        </w:tc>
      </w:tr>
      <w:tr>
        <w:tblPrEx>
          <w:tblCellMar>
            <w:top w:w="0" w:type="dxa"/>
            <w:left w:w="108" w:type="dxa"/>
            <w:bottom w:w="0" w:type="dxa"/>
            <w:right w:w="108" w:type="dxa"/>
          </w:tblCellMar>
        </w:tblPrEx>
        <w:trPr>
          <w:gridAfter w:val="1"/>
          <w:wAfter w:w="1840" w:type="dxa"/>
          <w:trHeight w:val="285" w:hRule="atLeast"/>
        </w:trPr>
        <w:tc>
          <w:tcPr>
            <w:tcW w:w="533"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701"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236"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779"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534" w:type="dxa"/>
            <w:gridSpan w:val="2"/>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689"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707"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181" w:type="dxa"/>
            <w:gridSpan w:val="3"/>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434" w:type="dxa"/>
            <w:gridSpan w:val="3"/>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rPr>
            </w:pPr>
          </w:p>
        </w:tc>
        <w:tc>
          <w:tcPr>
            <w:tcW w:w="1443" w:type="dxa"/>
            <w:gridSpan w:val="3"/>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rPr>
            </w:pPr>
          </w:p>
        </w:tc>
      </w:tr>
      <w:tr>
        <w:tblPrEx>
          <w:tblCellMar>
            <w:top w:w="0" w:type="dxa"/>
            <w:left w:w="108" w:type="dxa"/>
            <w:bottom w:w="0" w:type="dxa"/>
            <w:right w:w="108" w:type="dxa"/>
          </w:tblCellMar>
        </w:tblPrEx>
        <w:trPr>
          <w:gridAfter w:val="1"/>
          <w:wAfter w:w="1840" w:type="dxa"/>
          <w:trHeight w:val="285" w:hRule="atLeast"/>
        </w:trPr>
        <w:tc>
          <w:tcPr>
            <w:tcW w:w="1470"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部门名称</w:t>
            </w:r>
          </w:p>
        </w:tc>
        <w:tc>
          <w:tcPr>
            <w:tcW w:w="6767" w:type="dxa"/>
            <w:gridSpan w:val="1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特克斯县商务和工业信息化局　</w:t>
            </w:r>
          </w:p>
        </w:tc>
      </w:tr>
      <w:tr>
        <w:tblPrEx>
          <w:tblCellMar>
            <w:top w:w="0" w:type="dxa"/>
            <w:left w:w="108" w:type="dxa"/>
            <w:bottom w:w="0" w:type="dxa"/>
            <w:right w:w="108" w:type="dxa"/>
          </w:tblCellMar>
        </w:tblPrEx>
        <w:trPr>
          <w:gridAfter w:val="1"/>
          <w:wAfter w:w="1840" w:type="dxa"/>
          <w:trHeight w:val="285" w:hRule="atLeast"/>
        </w:trPr>
        <w:tc>
          <w:tcPr>
            <w:tcW w:w="53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年度</w:t>
            </w:r>
            <w:r>
              <w:rPr>
                <w:rFonts w:hint="eastAsia" w:ascii="宋体" w:hAnsi="宋体" w:eastAsia="宋体" w:cs="宋体"/>
                <w:kern w:val="0"/>
                <w:sz w:val="24"/>
              </w:rPr>
              <w:br w:type="textWrapping"/>
            </w:r>
            <w:r>
              <w:rPr>
                <w:rFonts w:hint="eastAsia" w:ascii="宋体" w:hAnsi="宋体" w:eastAsia="宋体" w:cs="宋体"/>
                <w:kern w:val="0"/>
                <w:sz w:val="24"/>
              </w:rPr>
              <w:t>主要</w:t>
            </w:r>
            <w:r>
              <w:rPr>
                <w:rFonts w:hint="eastAsia" w:ascii="宋体" w:hAnsi="宋体" w:eastAsia="宋体" w:cs="宋体"/>
                <w:kern w:val="0"/>
                <w:sz w:val="24"/>
              </w:rPr>
              <w:br w:type="textWrapping"/>
            </w:r>
            <w:r>
              <w:rPr>
                <w:rFonts w:hint="eastAsia" w:ascii="宋体" w:hAnsi="宋体" w:eastAsia="宋体" w:cs="宋体"/>
                <w:kern w:val="0"/>
                <w:sz w:val="24"/>
              </w:rPr>
              <w:t>任务</w:t>
            </w:r>
          </w:p>
        </w:tc>
        <w:tc>
          <w:tcPr>
            <w:tcW w:w="937"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任务名称</w:t>
            </w:r>
          </w:p>
        </w:tc>
        <w:tc>
          <w:tcPr>
            <w:tcW w:w="2798" w:type="dxa"/>
            <w:gridSpan w:val="6"/>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主要内容</w:t>
            </w:r>
          </w:p>
        </w:tc>
        <w:tc>
          <w:tcPr>
            <w:tcW w:w="1984"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预算金额（万元）</w:t>
            </w:r>
          </w:p>
        </w:tc>
        <w:tc>
          <w:tcPr>
            <w:tcW w:w="1985" w:type="dxa"/>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rPr>
              <w:t>实际执行（万元）</w:t>
            </w:r>
          </w:p>
        </w:tc>
      </w:tr>
      <w:tr>
        <w:tblPrEx>
          <w:tblCellMar>
            <w:top w:w="0" w:type="dxa"/>
            <w:left w:w="108" w:type="dxa"/>
            <w:bottom w:w="0" w:type="dxa"/>
            <w:right w:w="108" w:type="dxa"/>
          </w:tblCellMar>
        </w:tblPrEx>
        <w:trPr>
          <w:gridAfter w:val="1"/>
          <w:wAfter w:w="1840" w:type="dxa"/>
          <w:trHeight w:val="285" w:hRule="atLeast"/>
        </w:trPr>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37"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hAnsi="宋体" w:eastAsia="宋体" w:cs="宋体"/>
                <w:kern w:val="0"/>
                <w:sz w:val="24"/>
              </w:rPr>
            </w:pPr>
          </w:p>
        </w:tc>
        <w:tc>
          <w:tcPr>
            <w:tcW w:w="2798" w:type="dxa"/>
            <w:gridSpan w:val="6"/>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4"/>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总额</w:t>
            </w:r>
          </w:p>
        </w:tc>
        <w:tc>
          <w:tcPr>
            <w:tcW w:w="708"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财政拨款</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其他资金</w:t>
            </w:r>
          </w:p>
        </w:tc>
        <w:tc>
          <w:tcPr>
            <w:tcW w:w="709"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总额</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财政拨款</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其他资金</w:t>
            </w:r>
          </w:p>
        </w:tc>
      </w:tr>
      <w:tr>
        <w:tblPrEx>
          <w:tblCellMar>
            <w:top w:w="0" w:type="dxa"/>
            <w:left w:w="108" w:type="dxa"/>
            <w:bottom w:w="0" w:type="dxa"/>
            <w:right w:w="108" w:type="dxa"/>
          </w:tblCellMar>
        </w:tblPrEx>
        <w:trPr>
          <w:gridAfter w:val="1"/>
          <w:wAfter w:w="1840" w:type="dxa"/>
          <w:trHeight w:val="1018" w:hRule="atLeast"/>
        </w:trPr>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3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任务1：人员保障</w:t>
            </w:r>
          </w:p>
        </w:tc>
        <w:tc>
          <w:tcPr>
            <w:tcW w:w="2798" w:type="dxa"/>
            <w:gridSpan w:val="6"/>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　人员保障:</w:t>
            </w:r>
            <w:r>
              <w:rPr>
                <w:rFonts w:hint="eastAsia"/>
                <w:highlight w:val="none"/>
              </w:rPr>
              <w:t xml:space="preserve"> </w:t>
            </w:r>
            <w:r>
              <w:rPr>
                <w:rFonts w:hint="eastAsia" w:ascii="宋体" w:hAnsi="宋体" w:eastAsia="宋体" w:cs="宋体"/>
                <w:kern w:val="0"/>
                <w:sz w:val="24"/>
                <w:highlight w:val="none"/>
              </w:rPr>
              <w:t>用于保障部门单位人员发放工资福利支出及对个人和家庭补助</w:t>
            </w:r>
          </w:p>
        </w:tc>
        <w:tc>
          <w:tcPr>
            <w:tcW w:w="709"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宋体" w:hAnsi="宋体" w:eastAsia="宋体" w:cs="宋体"/>
                <w:szCs w:val="21"/>
                <w:highlight w:val="none"/>
                <w:lang w:val="en-US" w:eastAsia="zh-CN"/>
              </w:rPr>
            </w:pPr>
            <w:r>
              <w:rPr>
                <w:rFonts w:hint="eastAsia" w:eastAsia="宋体"/>
                <w:szCs w:val="21"/>
                <w:highlight w:val="none"/>
                <w:lang w:val="en-US" w:eastAsia="zh-CN"/>
              </w:rPr>
              <w:t>206.76</w:t>
            </w:r>
          </w:p>
        </w:tc>
        <w:tc>
          <w:tcPr>
            <w:tcW w:w="708" w:type="dxa"/>
            <w:gridSpan w:val="2"/>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Cs w:val="21"/>
                <w:highlight w:val="none"/>
              </w:rPr>
            </w:pPr>
            <w:r>
              <w:rPr>
                <w:rFonts w:hint="eastAsia" w:eastAsia="宋体"/>
                <w:szCs w:val="21"/>
                <w:highlight w:val="none"/>
                <w:lang w:val="en-US" w:eastAsia="zh-CN"/>
              </w:rPr>
              <w:t>206.76</w:t>
            </w:r>
          </w:p>
        </w:tc>
        <w:tc>
          <w:tcPr>
            <w:tcW w:w="567"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Cs w:val="21"/>
                <w:highlight w:val="none"/>
                <w:lang w:val="en-US" w:eastAsia="zh-CN"/>
              </w:rPr>
            </w:pPr>
            <w:r>
              <w:rPr>
                <w:rFonts w:hint="eastAsia" w:ascii="宋体" w:hAnsi="宋体" w:eastAsia="宋体" w:cs="宋体"/>
                <w:kern w:val="0"/>
                <w:szCs w:val="21"/>
                <w:highlight w:val="none"/>
              </w:rPr>
              <w:t>　</w:t>
            </w:r>
            <w:r>
              <w:rPr>
                <w:rFonts w:hint="eastAsia" w:ascii="宋体" w:hAnsi="宋体" w:eastAsia="宋体" w:cs="宋体"/>
                <w:kern w:val="0"/>
                <w:szCs w:val="21"/>
                <w:highlight w:val="none"/>
                <w:lang w:val="en-US" w:eastAsia="zh-CN"/>
              </w:rPr>
              <w:t>0.00</w:t>
            </w:r>
          </w:p>
        </w:tc>
        <w:tc>
          <w:tcPr>
            <w:tcW w:w="709" w:type="dxa"/>
            <w:gridSpan w:val="2"/>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Cs w:val="21"/>
                <w:highlight w:val="none"/>
              </w:rPr>
            </w:pPr>
            <w:r>
              <w:rPr>
                <w:rFonts w:hint="eastAsia" w:eastAsia="宋体"/>
                <w:szCs w:val="21"/>
                <w:highlight w:val="none"/>
                <w:lang w:val="en-US" w:eastAsia="zh-CN"/>
              </w:rPr>
              <w:t>206.76</w:t>
            </w:r>
          </w:p>
        </w:tc>
        <w:tc>
          <w:tcPr>
            <w:tcW w:w="567"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Cs w:val="21"/>
                <w:highlight w:val="none"/>
              </w:rPr>
            </w:pPr>
            <w:r>
              <w:rPr>
                <w:rFonts w:hint="eastAsia" w:eastAsia="宋体"/>
                <w:szCs w:val="21"/>
                <w:highlight w:val="none"/>
                <w:lang w:val="en-US" w:eastAsia="zh-CN"/>
              </w:rPr>
              <w:t>206.76</w:t>
            </w:r>
          </w:p>
        </w:tc>
        <w:tc>
          <w:tcPr>
            <w:tcW w:w="709"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Cs w:val="21"/>
                <w:highlight w:val="none"/>
                <w:lang w:val="en-US" w:eastAsia="zh-CN"/>
              </w:rPr>
            </w:pPr>
            <w:r>
              <w:rPr>
                <w:rFonts w:hint="eastAsia" w:ascii="宋体" w:hAnsi="宋体" w:eastAsia="宋体" w:cs="宋体"/>
                <w:kern w:val="0"/>
                <w:szCs w:val="21"/>
                <w:highlight w:val="none"/>
              </w:rPr>
              <w:t>　</w:t>
            </w:r>
            <w:r>
              <w:rPr>
                <w:rFonts w:hint="eastAsia" w:ascii="宋体" w:hAnsi="宋体" w:eastAsia="宋体" w:cs="宋体"/>
                <w:kern w:val="0"/>
                <w:szCs w:val="21"/>
                <w:highlight w:val="none"/>
                <w:lang w:val="en-US" w:eastAsia="zh-CN"/>
              </w:rPr>
              <w:t>0.00</w:t>
            </w:r>
          </w:p>
        </w:tc>
      </w:tr>
      <w:tr>
        <w:tblPrEx>
          <w:tblCellMar>
            <w:top w:w="0" w:type="dxa"/>
            <w:left w:w="108" w:type="dxa"/>
            <w:bottom w:w="0" w:type="dxa"/>
            <w:right w:w="108" w:type="dxa"/>
          </w:tblCellMar>
        </w:tblPrEx>
        <w:trPr>
          <w:gridAfter w:val="1"/>
          <w:wAfter w:w="1840" w:type="dxa"/>
          <w:trHeight w:val="1259" w:hRule="atLeast"/>
        </w:trPr>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3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任务2：运转保障</w:t>
            </w:r>
          </w:p>
        </w:tc>
        <w:tc>
          <w:tcPr>
            <w:tcW w:w="2798" w:type="dxa"/>
            <w:gridSpan w:val="6"/>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　用于日常办公费、取暖费、三公经费、工会经费、福利费及其它商品和服务支出</w:t>
            </w:r>
          </w:p>
        </w:tc>
        <w:tc>
          <w:tcPr>
            <w:tcW w:w="709"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宋体" w:hAnsi="宋体" w:eastAsia="宋体" w:cs="宋体"/>
                <w:szCs w:val="21"/>
                <w:highlight w:val="none"/>
                <w:lang w:val="en-US" w:eastAsia="zh-CN"/>
              </w:rPr>
            </w:pPr>
            <w:r>
              <w:rPr>
                <w:rFonts w:hint="eastAsia" w:eastAsia="宋体"/>
                <w:szCs w:val="21"/>
                <w:highlight w:val="none"/>
                <w:lang w:val="en-US" w:eastAsia="zh-CN"/>
              </w:rPr>
              <w:t>6.20</w:t>
            </w:r>
          </w:p>
        </w:tc>
        <w:tc>
          <w:tcPr>
            <w:tcW w:w="708" w:type="dxa"/>
            <w:gridSpan w:val="2"/>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Cs w:val="21"/>
                <w:highlight w:val="none"/>
                <w:lang w:val="en-US" w:eastAsia="zh-CN"/>
              </w:rPr>
            </w:pPr>
            <w:r>
              <w:rPr>
                <w:rFonts w:hint="eastAsia" w:ascii="宋体" w:hAnsi="宋体" w:eastAsia="宋体" w:cs="宋体"/>
                <w:kern w:val="0"/>
                <w:szCs w:val="21"/>
                <w:highlight w:val="none"/>
                <w:lang w:val="en-US" w:eastAsia="zh-CN"/>
              </w:rPr>
              <w:t>6.20</w:t>
            </w:r>
          </w:p>
        </w:tc>
        <w:tc>
          <w:tcPr>
            <w:tcW w:w="567"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Cs w:val="21"/>
                <w:highlight w:val="none"/>
                <w:lang w:val="en-US" w:eastAsia="zh-CN"/>
              </w:rPr>
            </w:pPr>
            <w:r>
              <w:rPr>
                <w:rFonts w:hint="eastAsia" w:ascii="宋体" w:hAnsi="宋体" w:eastAsia="宋体" w:cs="宋体"/>
                <w:kern w:val="0"/>
                <w:szCs w:val="21"/>
                <w:highlight w:val="none"/>
              </w:rPr>
              <w:t>　</w:t>
            </w:r>
            <w:r>
              <w:rPr>
                <w:rFonts w:hint="eastAsia" w:ascii="宋体" w:hAnsi="宋体" w:eastAsia="宋体" w:cs="宋体"/>
                <w:kern w:val="0"/>
                <w:szCs w:val="21"/>
                <w:highlight w:val="none"/>
                <w:lang w:val="en-US" w:eastAsia="zh-CN"/>
              </w:rPr>
              <w:t>0.00</w:t>
            </w:r>
          </w:p>
        </w:tc>
        <w:tc>
          <w:tcPr>
            <w:tcW w:w="709" w:type="dxa"/>
            <w:gridSpan w:val="2"/>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Cs w:val="21"/>
                <w:highlight w:val="none"/>
              </w:rPr>
            </w:pPr>
            <w:r>
              <w:rPr>
                <w:rFonts w:hint="eastAsia" w:eastAsia="宋体"/>
                <w:szCs w:val="21"/>
                <w:highlight w:val="none"/>
                <w:lang w:val="en-US" w:eastAsia="zh-CN"/>
              </w:rPr>
              <w:t>6.2</w:t>
            </w:r>
          </w:p>
        </w:tc>
        <w:tc>
          <w:tcPr>
            <w:tcW w:w="567" w:type="dxa"/>
            <w:tcBorders>
              <w:top w:val="nil"/>
              <w:left w:val="nil"/>
              <w:bottom w:val="single" w:color="auto" w:sz="4" w:space="0"/>
              <w:right w:val="single" w:color="auto" w:sz="4" w:space="0"/>
            </w:tcBorders>
            <w:shd w:val="clear" w:color="auto" w:fill="auto"/>
            <w:vAlign w:val="center"/>
          </w:tcPr>
          <w:p>
            <w:pPr>
              <w:jc w:val="center"/>
              <w:rPr>
                <w:rFonts w:hint="default" w:ascii="宋体" w:hAnsi="宋体" w:eastAsia="宋体" w:cs="宋体"/>
                <w:kern w:val="0"/>
                <w:szCs w:val="21"/>
                <w:highlight w:val="none"/>
                <w:lang w:val="en-US"/>
              </w:rPr>
            </w:pPr>
            <w:r>
              <w:rPr>
                <w:rFonts w:hint="eastAsia" w:eastAsia="宋体"/>
                <w:szCs w:val="21"/>
                <w:highlight w:val="none"/>
                <w:lang w:val="en-US" w:eastAsia="zh-CN"/>
              </w:rPr>
              <w:t>6.20</w:t>
            </w:r>
          </w:p>
        </w:tc>
        <w:tc>
          <w:tcPr>
            <w:tcW w:w="709"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Cs w:val="21"/>
                <w:highlight w:val="none"/>
                <w:lang w:val="en-US" w:eastAsia="zh-CN"/>
              </w:rPr>
            </w:pPr>
            <w:r>
              <w:rPr>
                <w:rFonts w:hint="eastAsia" w:ascii="宋体" w:hAnsi="宋体" w:eastAsia="宋体" w:cs="宋体"/>
                <w:kern w:val="0"/>
                <w:szCs w:val="21"/>
                <w:highlight w:val="none"/>
                <w:lang w:val="en-US" w:eastAsia="zh-CN"/>
              </w:rPr>
              <w:t>0</w:t>
            </w:r>
            <w:r>
              <w:rPr>
                <w:rFonts w:hint="eastAsia" w:ascii="宋体" w:hAnsi="宋体" w:eastAsia="宋体" w:cs="宋体"/>
                <w:kern w:val="0"/>
                <w:szCs w:val="21"/>
                <w:highlight w:val="none"/>
              </w:rPr>
              <w:t>　</w:t>
            </w:r>
            <w:r>
              <w:rPr>
                <w:rFonts w:hint="eastAsia" w:ascii="宋体" w:hAnsi="宋体" w:eastAsia="宋体" w:cs="宋体"/>
                <w:kern w:val="0"/>
                <w:szCs w:val="21"/>
                <w:highlight w:val="none"/>
                <w:lang w:val="en-US" w:eastAsia="zh-CN"/>
              </w:rPr>
              <w:t>.00</w:t>
            </w:r>
          </w:p>
        </w:tc>
      </w:tr>
      <w:tr>
        <w:tblPrEx>
          <w:tblCellMar>
            <w:top w:w="0" w:type="dxa"/>
            <w:left w:w="108" w:type="dxa"/>
            <w:bottom w:w="0" w:type="dxa"/>
            <w:right w:w="108" w:type="dxa"/>
          </w:tblCellMar>
        </w:tblPrEx>
        <w:trPr>
          <w:gridAfter w:val="1"/>
          <w:wAfter w:w="1840" w:type="dxa"/>
          <w:trHeight w:val="285" w:hRule="atLeast"/>
        </w:trPr>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3735" w:type="dxa"/>
            <w:gridSpan w:val="8"/>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金额合计</w:t>
            </w:r>
          </w:p>
        </w:tc>
        <w:tc>
          <w:tcPr>
            <w:tcW w:w="70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Cs w:val="21"/>
                <w:highlight w:val="none"/>
                <w:lang w:val="en-US" w:eastAsia="zh-CN"/>
              </w:rPr>
            </w:pPr>
            <w:r>
              <w:rPr>
                <w:rFonts w:hint="eastAsia" w:ascii="宋体" w:hAnsi="宋体" w:eastAsia="宋体" w:cs="宋体"/>
                <w:kern w:val="0"/>
                <w:szCs w:val="21"/>
                <w:highlight w:val="none"/>
                <w:lang w:val="en-US" w:eastAsia="zh-CN"/>
              </w:rPr>
              <w:t>212.96</w:t>
            </w:r>
          </w:p>
        </w:tc>
        <w:tc>
          <w:tcPr>
            <w:tcW w:w="708"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szCs w:val="21"/>
                <w:highlight w:val="none"/>
              </w:rPr>
            </w:pPr>
            <w:r>
              <w:rPr>
                <w:rFonts w:hint="eastAsia" w:ascii="宋体" w:hAnsi="宋体" w:eastAsia="宋体" w:cs="宋体"/>
                <w:kern w:val="0"/>
                <w:szCs w:val="21"/>
                <w:highlight w:val="none"/>
                <w:lang w:val="en-US" w:eastAsia="zh-CN"/>
              </w:rPr>
              <w:t>212.96</w:t>
            </w:r>
          </w:p>
        </w:tc>
        <w:tc>
          <w:tcPr>
            <w:tcW w:w="567"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Cs w:val="21"/>
                <w:highlight w:val="none"/>
                <w:lang w:val="en-US" w:eastAsia="zh-CN"/>
              </w:rPr>
            </w:pPr>
            <w:r>
              <w:rPr>
                <w:rFonts w:hint="eastAsia" w:ascii="宋体" w:hAnsi="宋体" w:eastAsia="宋体" w:cs="宋体"/>
                <w:kern w:val="0"/>
                <w:szCs w:val="21"/>
                <w:highlight w:val="none"/>
                <w:lang w:val="en-US" w:eastAsia="zh-CN"/>
              </w:rPr>
              <w:t>0.00</w:t>
            </w:r>
          </w:p>
        </w:tc>
        <w:tc>
          <w:tcPr>
            <w:tcW w:w="70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Cs w:val="21"/>
                <w:highlight w:val="none"/>
              </w:rPr>
            </w:pPr>
            <w:r>
              <w:rPr>
                <w:rFonts w:hint="eastAsia" w:ascii="宋体" w:hAnsi="宋体" w:eastAsia="宋体" w:cs="宋体"/>
                <w:kern w:val="0"/>
                <w:szCs w:val="21"/>
                <w:highlight w:val="none"/>
                <w:lang w:val="en-US" w:eastAsia="zh-CN"/>
              </w:rPr>
              <w:t>212.96</w:t>
            </w:r>
          </w:p>
        </w:tc>
        <w:tc>
          <w:tcPr>
            <w:tcW w:w="56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1"/>
                <w:highlight w:val="none"/>
              </w:rPr>
            </w:pPr>
            <w:r>
              <w:rPr>
                <w:rFonts w:hint="eastAsia" w:ascii="宋体" w:hAnsi="宋体" w:eastAsia="宋体" w:cs="宋体"/>
                <w:kern w:val="0"/>
                <w:szCs w:val="21"/>
                <w:highlight w:val="none"/>
                <w:lang w:val="en-US" w:eastAsia="zh-CN"/>
              </w:rPr>
              <w:t>212.96</w:t>
            </w: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rPr>
              <w:t>　</w:t>
            </w:r>
            <w:r>
              <w:rPr>
                <w:rFonts w:hint="eastAsia" w:ascii="宋体" w:hAnsi="宋体" w:eastAsia="宋体" w:cs="宋体"/>
                <w:color w:val="000000"/>
                <w:kern w:val="0"/>
                <w:szCs w:val="21"/>
                <w:highlight w:val="none"/>
                <w:lang w:val="en-US" w:eastAsia="zh-CN"/>
              </w:rPr>
              <w:t>0.00</w:t>
            </w:r>
          </w:p>
        </w:tc>
      </w:tr>
      <w:tr>
        <w:tblPrEx>
          <w:tblCellMar>
            <w:top w:w="0" w:type="dxa"/>
            <w:left w:w="108" w:type="dxa"/>
            <w:bottom w:w="0" w:type="dxa"/>
            <w:right w:w="108" w:type="dxa"/>
          </w:tblCellMar>
        </w:tblPrEx>
        <w:trPr>
          <w:trHeight w:val="285" w:hRule="atLeast"/>
        </w:trPr>
        <w:tc>
          <w:tcPr>
            <w:tcW w:w="53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w:t>
            </w:r>
          </w:p>
        </w:tc>
        <w:tc>
          <w:tcPr>
            <w:tcW w:w="4444" w:type="dxa"/>
            <w:gridSpan w:val="9"/>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预期目标</w:t>
            </w:r>
          </w:p>
        </w:tc>
        <w:tc>
          <w:tcPr>
            <w:tcW w:w="3260" w:type="dxa"/>
            <w:gridSpan w:val="7"/>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实际完成目标</w:t>
            </w:r>
          </w:p>
        </w:tc>
        <w:tc>
          <w:tcPr>
            <w:tcW w:w="1840" w:type="dxa"/>
            <w:vAlign w:val="center"/>
          </w:tcPr>
          <w:p>
            <w:pPr>
              <w:jc w:val="center"/>
              <w:rPr>
                <w:rFonts w:ascii="宋体" w:hAnsi="宋体" w:eastAsia="宋体" w:cs="宋体"/>
                <w:sz w:val="20"/>
                <w:szCs w:val="20"/>
              </w:rPr>
            </w:pPr>
          </w:p>
        </w:tc>
      </w:tr>
      <w:tr>
        <w:tblPrEx>
          <w:tblCellMar>
            <w:top w:w="0" w:type="dxa"/>
            <w:left w:w="108" w:type="dxa"/>
            <w:bottom w:w="0" w:type="dxa"/>
            <w:right w:w="108" w:type="dxa"/>
          </w:tblCellMar>
        </w:tblPrEx>
        <w:trPr>
          <w:gridAfter w:val="1"/>
          <w:wAfter w:w="1840" w:type="dxa"/>
          <w:trHeight w:val="2070" w:hRule="atLeast"/>
        </w:trPr>
        <w:tc>
          <w:tcPr>
            <w:tcW w:w="53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年度</w:t>
            </w:r>
            <w:r>
              <w:rPr>
                <w:rFonts w:hint="eastAsia" w:ascii="宋体" w:hAnsi="宋体" w:eastAsia="宋体" w:cs="宋体"/>
                <w:kern w:val="0"/>
                <w:sz w:val="24"/>
              </w:rPr>
              <w:br w:type="textWrapping"/>
            </w:r>
            <w:r>
              <w:rPr>
                <w:rFonts w:hint="eastAsia" w:ascii="宋体" w:hAnsi="宋体" w:eastAsia="宋体" w:cs="宋体"/>
                <w:kern w:val="0"/>
                <w:sz w:val="24"/>
              </w:rPr>
              <w:t>总体</w:t>
            </w:r>
            <w:r>
              <w:rPr>
                <w:rFonts w:hint="eastAsia" w:ascii="宋体" w:hAnsi="宋体" w:eastAsia="宋体" w:cs="宋体"/>
                <w:kern w:val="0"/>
                <w:sz w:val="24"/>
              </w:rPr>
              <w:br w:type="textWrapping"/>
            </w:r>
            <w:r>
              <w:rPr>
                <w:rFonts w:hint="eastAsia" w:ascii="宋体" w:hAnsi="宋体" w:eastAsia="宋体" w:cs="宋体"/>
                <w:kern w:val="0"/>
                <w:sz w:val="24"/>
              </w:rPr>
              <w:t>目标</w:t>
            </w:r>
          </w:p>
        </w:tc>
        <w:tc>
          <w:tcPr>
            <w:tcW w:w="4444" w:type="dxa"/>
            <w:gridSpan w:val="9"/>
            <w:tcBorders>
              <w:top w:val="single" w:color="auto" w:sz="4" w:space="0"/>
              <w:left w:val="nil"/>
              <w:bottom w:val="single" w:color="auto" w:sz="4" w:space="0"/>
              <w:right w:val="single" w:color="auto" w:sz="4" w:space="0"/>
            </w:tcBorders>
            <w:shd w:val="clear" w:color="auto" w:fill="auto"/>
          </w:tcPr>
          <w:p>
            <w:pPr>
              <w:widowControl/>
              <w:jc w:val="left"/>
              <w:rPr>
                <w:rFonts w:ascii="宋体" w:hAnsi="宋体" w:eastAsia="宋体" w:cs="宋体"/>
                <w:kern w:val="0"/>
                <w:sz w:val="24"/>
              </w:rPr>
            </w:pPr>
            <w:r>
              <w:rPr>
                <w:rFonts w:hint="eastAsia" w:ascii="宋体" w:hAnsi="宋体" w:eastAsia="宋体" w:cs="宋体"/>
                <w:kern w:val="0"/>
                <w:sz w:val="24"/>
              </w:rPr>
              <w:t>保证单位财政供养人员基本工资、津贴补贴、艰边补助预算的收支，保证单位工作正常开展和各项任务顺利完成。</w:t>
            </w:r>
          </w:p>
        </w:tc>
        <w:tc>
          <w:tcPr>
            <w:tcW w:w="3260"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eastAsia="宋体" w:cs="宋体"/>
                <w:kern w:val="0"/>
                <w:sz w:val="24"/>
              </w:rPr>
            </w:pPr>
            <w:r>
              <w:rPr>
                <w:rFonts w:hint="eastAsia" w:ascii="宋体" w:hAnsi="宋体" w:eastAsia="宋体" w:cs="宋体"/>
                <w:kern w:val="0"/>
                <w:sz w:val="24"/>
              </w:rPr>
              <w:t>保证单位财政供养人员基本工资、津贴补贴、艰边补助预算的收支，保证单位工作正常开展和各项任务顺利完成。</w:t>
            </w:r>
          </w:p>
        </w:tc>
      </w:tr>
      <w:tr>
        <w:tblPrEx>
          <w:tblCellMar>
            <w:top w:w="0" w:type="dxa"/>
            <w:left w:w="108" w:type="dxa"/>
            <w:bottom w:w="0" w:type="dxa"/>
            <w:right w:w="108" w:type="dxa"/>
          </w:tblCellMar>
        </w:tblPrEx>
        <w:trPr>
          <w:gridAfter w:val="1"/>
          <w:wAfter w:w="1840" w:type="dxa"/>
          <w:trHeight w:val="885" w:hRule="atLeast"/>
        </w:trPr>
        <w:tc>
          <w:tcPr>
            <w:tcW w:w="53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w:t>
            </w:r>
            <w:r>
              <w:rPr>
                <w:rFonts w:hint="eastAsia" w:ascii="宋体" w:hAnsi="宋体" w:eastAsia="宋体" w:cs="宋体"/>
                <w:kern w:val="0"/>
                <w:sz w:val="24"/>
              </w:rPr>
              <w:br w:type="textWrapping"/>
            </w:r>
            <w:r>
              <w:rPr>
                <w:rFonts w:hint="eastAsia" w:ascii="宋体" w:hAnsi="宋体" w:eastAsia="宋体" w:cs="宋体"/>
                <w:kern w:val="0"/>
                <w:sz w:val="24"/>
              </w:rPr>
              <w:t>度</w:t>
            </w:r>
            <w:r>
              <w:rPr>
                <w:rFonts w:hint="eastAsia" w:ascii="宋体" w:hAnsi="宋体" w:eastAsia="宋体" w:cs="宋体"/>
                <w:kern w:val="0"/>
                <w:sz w:val="24"/>
              </w:rPr>
              <w:br w:type="textWrapping"/>
            </w:r>
            <w:r>
              <w:rPr>
                <w:rFonts w:hint="eastAsia" w:ascii="宋体" w:hAnsi="宋体" w:eastAsia="宋体" w:cs="宋体"/>
                <w:kern w:val="0"/>
                <w:sz w:val="24"/>
              </w:rPr>
              <w:t>绩</w:t>
            </w:r>
            <w:r>
              <w:rPr>
                <w:rFonts w:hint="eastAsia" w:ascii="宋体" w:hAnsi="宋体" w:eastAsia="宋体" w:cs="宋体"/>
                <w:kern w:val="0"/>
                <w:sz w:val="24"/>
              </w:rPr>
              <w:br w:type="textWrapping"/>
            </w:r>
            <w:r>
              <w:rPr>
                <w:rFonts w:hint="eastAsia" w:ascii="宋体" w:hAnsi="宋体" w:eastAsia="宋体" w:cs="宋体"/>
                <w:kern w:val="0"/>
                <w:sz w:val="24"/>
              </w:rPr>
              <w:t>效</w:t>
            </w:r>
            <w:r>
              <w:rPr>
                <w:rFonts w:hint="eastAsia" w:ascii="宋体" w:hAnsi="宋体" w:eastAsia="宋体" w:cs="宋体"/>
                <w:kern w:val="0"/>
                <w:sz w:val="24"/>
              </w:rPr>
              <w:br w:type="textWrapping"/>
            </w:r>
            <w:r>
              <w:rPr>
                <w:rFonts w:hint="eastAsia" w:ascii="宋体" w:hAnsi="宋体" w:eastAsia="宋体" w:cs="宋体"/>
                <w:kern w:val="0"/>
                <w:sz w:val="24"/>
              </w:rPr>
              <w:t>指</w:t>
            </w:r>
            <w:r>
              <w:rPr>
                <w:rFonts w:hint="eastAsia" w:ascii="宋体" w:hAnsi="宋体" w:eastAsia="宋体" w:cs="宋体"/>
                <w:kern w:val="0"/>
                <w:sz w:val="24"/>
              </w:rPr>
              <w:br w:type="textWrapping"/>
            </w:r>
            <w:r>
              <w:rPr>
                <w:rFonts w:hint="eastAsia" w:ascii="宋体" w:hAnsi="宋体" w:eastAsia="宋体" w:cs="宋体"/>
                <w:kern w:val="0"/>
                <w:sz w:val="24"/>
              </w:rPr>
              <w:t>标</w:t>
            </w:r>
          </w:p>
        </w:tc>
        <w:tc>
          <w:tcPr>
            <w:tcW w:w="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一级指标</w:t>
            </w:r>
          </w:p>
        </w:tc>
        <w:tc>
          <w:tcPr>
            <w:tcW w:w="1333"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二级指标</w:t>
            </w:r>
          </w:p>
        </w:tc>
        <w:tc>
          <w:tcPr>
            <w:tcW w:w="241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三级指标</w:t>
            </w:r>
          </w:p>
        </w:tc>
        <w:tc>
          <w:tcPr>
            <w:tcW w:w="1984"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预期指标值（包含数字及文字描述）</w:t>
            </w:r>
          </w:p>
        </w:tc>
        <w:tc>
          <w:tcPr>
            <w:tcW w:w="127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实际完成指标值（包含数字及文字描述）</w:t>
            </w:r>
          </w:p>
        </w:tc>
      </w:tr>
      <w:tr>
        <w:tblPrEx>
          <w:tblCellMar>
            <w:top w:w="0" w:type="dxa"/>
            <w:left w:w="108" w:type="dxa"/>
            <w:bottom w:w="0" w:type="dxa"/>
            <w:right w:w="108" w:type="dxa"/>
          </w:tblCellMar>
        </w:tblPrEx>
        <w:trPr>
          <w:gridAfter w:val="1"/>
          <w:wAfter w:w="1840" w:type="dxa"/>
          <w:trHeight w:val="285" w:hRule="atLeast"/>
        </w:trPr>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完成指标</w:t>
            </w:r>
          </w:p>
        </w:tc>
        <w:tc>
          <w:tcPr>
            <w:tcW w:w="1333" w:type="dxa"/>
            <w:gridSpan w:val="3"/>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数量指标</w:t>
            </w:r>
          </w:p>
        </w:tc>
        <w:tc>
          <w:tcPr>
            <w:tcW w:w="2410" w:type="dxa"/>
            <w:gridSpan w:val="5"/>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指标1：保障人数</w:t>
            </w:r>
          </w:p>
        </w:tc>
        <w:tc>
          <w:tcPr>
            <w:tcW w:w="1984" w:type="dxa"/>
            <w:gridSpan w:val="5"/>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≥48人</w:t>
            </w:r>
          </w:p>
        </w:tc>
        <w:tc>
          <w:tcPr>
            <w:tcW w:w="127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49人　</w:t>
            </w:r>
          </w:p>
        </w:tc>
      </w:tr>
      <w:tr>
        <w:tblPrEx>
          <w:tblCellMar>
            <w:top w:w="0" w:type="dxa"/>
            <w:left w:w="108" w:type="dxa"/>
            <w:bottom w:w="0" w:type="dxa"/>
            <w:right w:w="108" w:type="dxa"/>
          </w:tblCellMar>
        </w:tblPrEx>
        <w:trPr>
          <w:gridAfter w:val="1"/>
          <w:wAfter w:w="1840" w:type="dxa"/>
          <w:trHeight w:val="285" w:hRule="atLeast"/>
        </w:trPr>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333"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410" w:type="dxa"/>
            <w:gridSpan w:val="5"/>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指标2：取暖面积</w:t>
            </w:r>
          </w:p>
        </w:tc>
        <w:tc>
          <w:tcPr>
            <w:tcW w:w="1984" w:type="dxa"/>
            <w:gridSpan w:val="5"/>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w:t>
            </w:r>
            <w:r>
              <w:rPr>
                <w:rFonts w:hint="eastAsia" w:ascii="宋体" w:hAnsi="宋体" w:eastAsia="宋体" w:cs="宋体"/>
                <w:color w:val="000000"/>
                <w:kern w:val="0"/>
                <w:sz w:val="22"/>
                <w:szCs w:val="22"/>
              </w:rPr>
              <w:t>460平方米　</w:t>
            </w:r>
          </w:p>
        </w:tc>
        <w:tc>
          <w:tcPr>
            <w:tcW w:w="127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460平方米　</w:t>
            </w:r>
          </w:p>
        </w:tc>
      </w:tr>
      <w:tr>
        <w:tblPrEx>
          <w:tblCellMar>
            <w:top w:w="0" w:type="dxa"/>
            <w:left w:w="108" w:type="dxa"/>
            <w:bottom w:w="0" w:type="dxa"/>
            <w:right w:w="108" w:type="dxa"/>
          </w:tblCellMar>
        </w:tblPrEx>
        <w:trPr>
          <w:gridAfter w:val="1"/>
          <w:wAfter w:w="1840" w:type="dxa"/>
          <w:trHeight w:val="285" w:hRule="atLeast"/>
        </w:trPr>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333" w:type="dxa"/>
            <w:gridSpan w:val="3"/>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质量指标</w:t>
            </w:r>
          </w:p>
        </w:tc>
        <w:tc>
          <w:tcPr>
            <w:tcW w:w="2410" w:type="dxa"/>
            <w:gridSpan w:val="5"/>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指标1：公用经费支出及时性</w:t>
            </w:r>
          </w:p>
        </w:tc>
        <w:tc>
          <w:tcPr>
            <w:tcW w:w="1984" w:type="dxa"/>
            <w:gridSpan w:val="5"/>
            <w:tcBorders>
              <w:top w:val="single" w:color="auto" w:sz="4" w:space="0"/>
              <w:left w:val="single" w:color="auto" w:sz="4" w:space="0"/>
              <w:bottom w:val="single" w:color="auto" w:sz="4" w:space="0"/>
              <w:right w:val="single" w:color="000000" w:sz="4" w:space="0"/>
            </w:tcBorders>
            <w:shd w:val="clear" w:color="auto" w:fill="auto"/>
            <w:vAlign w:val="center"/>
          </w:tcPr>
          <w:p>
            <w:pPr>
              <w:widowControl/>
              <w:ind w:firstLine="330" w:firstLineChars="150"/>
              <w:jc w:val="left"/>
              <w:rPr>
                <w:rFonts w:ascii="宋体" w:hAnsi="宋体" w:eastAsia="宋体" w:cs="宋体"/>
                <w:kern w:val="0"/>
                <w:sz w:val="24"/>
              </w:rPr>
            </w:pPr>
            <w:r>
              <w:rPr>
                <w:rFonts w:hint="eastAsia" w:ascii="宋体" w:hAnsi="宋体" w:eastAsia="宋体" w:cs="宋体"/>
                <w:color w:val="000000"/>
                <w:kern w:val="0"/>
                <w:sz w:val="22"/>
                <w:szCs w:val="22"/>
              </w:rPr>
              <w:t>=100%</w:t>
            </w:r>
          </w:p>
        </w:tc>
        <w:tc>
          <w:tcPr>
            <w:tcW w:w="127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100%　</w:t>
            </w:r>
          </w:p>
        </w:tc>
      </w:tr>
      <w:tr>
        <w:tblPrEx>
          <w:tblCellMar>
            <w:top w:w="0" w:type="dxa"/>
            <w:left w:w="108" w:type="dxa"/>
            <w:bottom w:w="0" w:type="dxa"/>
            <w:right w:w="108" w:type="dxa"/>
          </w:tblCellMar>
        </w:tblPrEx>
        <w:trPr>
          <w:gridAfter w:val="1"/>
          <w:wAfter w:w="1840" w:type="dxa"/>
          <w:trHeight w:val="285" w:hRule="atLeast"/>
        </w:trPr>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333"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410" w:type="dxa"/>
            <w:gridSpan w:val="5"/>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指标2：人员工资发放及社保缴纳准确率</w:t>
            </w:r>
          </w:p>
        </w:tc>
        <w:tc>
          <w:tcPr>
            <w:tcW w:w="1984" w:type="dxa"/>
            <w:gridSpan w:val="5"/>
            <w:tcBorders>
              <w:top w:val="single" w:color="auto" w:sz="4" w:space="0"/>
              <w:left w:val="single" w:color="auto" w:sz="4" w:space="0"/>
              <w:bottom w:val="single" w:color="auto" w:sz="4" w:space="0"/>
              <w:right w:val="single" w:color="000000" w:sz="4" w:space="0"/>
            </w:tcBorders>
            <w:shd w:val="clear" w:color="auto" w:fill="auto"/>
            <w:vAlign w:val="center"/>
          </w:tcPr>
          <w:p>
            <w:pPr>
              <w:widowControl/>
              <w:ind w:firstLine="330" w:firstLineChars="150"/>
              <w:jc w:val="left"/>
              <w:rPr>
                <w:rFonts w:ascii="宋体" w:hAnsi="宋体" w:eastAsia="宋体" w:cs="宋体"/>
                <w:kern w:val="0"/>
                <w:sz w:val="24"/>
              </w:rPr>
            </w:pPr>
            <w:r>
              <w:rPr>
                <w:rFonts w:hint="eastAsia" w:ascii="宋体" w:hAnsi="宋体" w:eastAsia="宋体" w:cs="宋体"/>
                <w:color w:val="000000"/>
                <w:kern w:val="0"/>
                <w:sz w:val="22"/>
                <w:szCs w:val="22"/>
              </w:rPr>
              <w:t>=100%</w:t>
            </w:r>
          </w:p>
        </w:tc>
        <w:tc>
          <w:tcPr>
            <w:tcW w:w="127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100%　</w:t>
            </w:r>
          </w:p>
        </w:tc>
      </w:tr>
      <w:tr>
        <w:tblPrEx>
          <w:tblCellMar>
            <w:top w:w="0" w:type="dxa"/>
            <w:left w:w="108" w:type="dxa"/>
            <w:bottom w:w="0" w:type="dxa"/>
            <w:right w:w="108" w:type="dxa"/>
          </w:tblCellMar>
        </w:tblPrEx>
        <w:trPr>
          <w:gridAfter w:val="1"/>
          <w:wAfter w:w="1840" w:type="dxa"/>
          <w:trHeight w:val="285" w:hRule="atLeast"/>
        </w:trPr>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333" w:type="dxa"/>
            <w:gridSpan w:val="3"/>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时效指标</w:t>
            </w:r>
          </w:p>
        </w:tc>
        <w:tc>
          <w:tcPr>
            <w:tcW w:w="2410" w:type="dxa"/>
            <w:gridSpan w:val="5"/>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指标1：人员工资发放及社保缴纳及时性</w:t>
            </w:r>
          </w:p>
        </w:tc>
        <w:tc>
          <w:tcPr>
            <w:tcW w:w="1984" w:type="dxa"/>
            <w:gridSpan w:val="5"/>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=100%</w:t>
            </w:r>
          </w:p>
        </w:tc>
        <w:tc>
          <w:tcPr>
            <w:tcW w:w="127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100%　</w:t>
            </w:r>
          </w:p>
        </w:tc>
      </w:tr>
      <w:tr>
        <w:tblPrEx>
          <w:tblCellMar>
            <w:top w:w="0" w:type="dxa"/>
            <w:left w:w="108" w:type="dxa"/>
            <w:bottom w:w="0" w:type="dxa"/>
            <w:right w:w="108" w:type="dxa"/>
          </w:tblCellMar>
        </w:tblPrEx>
        <w:trPr>
          <w:gridAfter w:val="1"/>
          <w:wAfter w:w="1840" w:type="dxa"/>
          <w:trHeight w:val="636" w:hRule="atLeast"/>
        </w:trPr>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333" w:type="dxa"/>
            <w:gridSpan w:val="3"/>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成本指标</w:t>
            </w:r>
          </w:p>
        </w:tc>
        <w:tc>
          <w:tcPr>
            <w:tcW w:w="2410" w:type="dxa"/>
            <w:gridSpan w:val="5"/>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指标1：人均支出标准</w:t>
            </w:r>
          </w:p>
        </w:tc>
        <w:tc>
          <w:tcPr>
            <w:tcW w:w="1984" w:type="dxa"/>
            <w:gridSpan w:val="5"/>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w:t>
            </w:r>
            <w:r>
              <w:rPr>
                <w:rFonts w:hint="eastAsia" w:ascii="宋体" w:hAnsi="宋体" w:eastAsia="宋体" w:cs="宋体"/>
                <w:kern w:val="0"/>
                <w:sz w:val="24"/>
                <w:lang w:val="en-US" w:eastAsia="zh-CN"/>
              </w:rPr>
              <w:t>4.7</w:t>
            </w:r>
            <w:r>
              <w:rPr>
                <w:rFonts w:hint="eastAsia" w:ascii="宋体" w:hAnsi="宋体" w:eastAsia="宋体" w:cs="宋体"/>
                <w:kern w:val="0"/>
                <w:sz w:val="24"/>
              </w:rPr>
              <w:t>万元　</w:t>
            </w:r>
          </w:p>
        </w:tc>
        <w:tc>
          <w:tcPr>
            <w:tcW w:w="127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lang w:val="en-US" w:eastAsia="zh-CN"/>
              </w:rPr>
              <w:t>4.7</w:t>
            </w:r>
            <w:r>
              <w:rPr>
                <w:rFonts w:hint="eastAsia" w:ascii="宋体" w:hAnsi="宋体" w:eastAsia="宋体" w:cs="宋体"/>
                <w:kern w:val="0"/>
                <w:sz w:val="24"/>
              </w:rPr>
              <w:t>万元</w:t>
            </w:r>
            <w:r>
              <w:rPr>
                <w:rFonts w:hint="eastAsia" w:ascii="宋体" w:hAnsi="宋体" w:eastAsia="宋体" w:cs="宋体"/>
                <w:color w:val="000000"/>
                <w:kern w:val="0"/>
                <w:sz w:val="22"/>
                <w:szCs w:val="22"/>
              </w:rPr>
              <w:t>　</w:t>
            </w:r>
          </w:p>
        </w:tc>
      </w:tr>
      <w:tr>
        <w:tblPrEx>
          <w:tblCellMar>
            <w:top w:w="0" w:type="dxa"/>
            <w:left w:w="108" w:type="dxa"/>
            <w:bottom w:w="0" w:type="dxa"/>
            <w:right w:w="108" w:type="dxa"/>
          </w:tblCellMar>
        </w:tblPrEx>
        <w:trPr>
          <w:gridAfter w:val="1"/>
          <w:wAfter w:w="1840" w:type="dxa"/>
          <w:trHeight w:val="285" w:hRule="atLeast"/>
        </w:trPr>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333"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410" w:type="dxa"/>
            <w:gridSpan w:val="5"/>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指标2：人均运转经费数</w:t>
            </w:r>
          </w:p>
        </w:tc>
        <w:tc>
          <w:tcPr>
            <w:tcW w:w="1984" w:type="dxa"/>
            <w:gridSpan w:val="5"/>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w:t>
            </w:r>
            <w:r>
              <w:rPr>
                <w:rFonts w:hint="eastAsia" w:ascii="宋体" w:hAnsi="宋体" w:eastAsia="宋体" w:cs="宋体"/>
                <w:kern w:val="0"/>
                <w:sz w:val="24"/>
                <w:lang w:val="en-US" w:eastAsia="zh-CN"/>
              </w:rPr>
              <w:t>0.35</w:t>
            </w:r>
            <w:r>
              <w:rPr>
                <w:rFonts w:hint="eastAsia" w:ascii="宋体" w:hAnsi="宋体" w:eastAsia="宋体" w:cs="宋体"/>
                <w:kern w:val="0"/>
                <w:sz w:val="24"/>
              </w:rPr>
              <w:t>万元</w:t>
            </w:r>
          </w:p>
        </w:tc>
        <w:tc>
          <w:tcPr>
            <w:tcW w:w="127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lang w:val="en-US" w:eastAsia="zh-CN"/>
              </w:rPr>
              <w:t>0.35</w:t>
            </w:r>
            <w:bookmarkStart w:id="33" w:name="_GoBack"/>
            <w:bookmarkEnd w:id="33"/>
            <w:r>
              <w:rPr>
                <w:rFonts w:hint="eastAsia" w:ascii="宋体" w:hAnsi="宋体" w:eastAsia="宋体" w:cs="宋体"/>
                <w:kern w:val="0"/>
                <w:sz w:val="24"/>
              </w:rPr>
              <w:t>万元</w:t>
            </w:r>
          </w:p>
        </w:tc>
      </w:tr>
      <w:tr>
        <w:tblPrEx>
          <w:tblCellMar>
            <w:top w:w="0" w:type="dxa"/>
            <w:left w:w="108" w:type="dxa"/>
            <w:bottom w:w="0" w:type="dxa"/>
            <w:right w:w="108" w:type="dxa"/>
          </w:tblCellMar>
        </w:tblPrEx>
        <w:trPr>
          <w:gridAfter w:val="1"/>
          <w:wAfter w:w="1840" w:type="dxa"/>
          <w:trHeight w:val="285" w:hRule="atLeast"/>
        </w:trPr>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效益指标</w:t>
            </w:r>
          </w:p>
        </w:tc>
        <w:tc>
          <w:tcPr>
            <w:tcW w:w="1333" w:type="dxa"/>
            <w:gridSpan w:val="3"/>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经济效益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2410" w:type="dxa"/>
            <w:gridSpan w:val="5"/>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指标1：提高工作人员工作积极性</w:t>
            </w:r>
          </w:p>
        </w:tc>
        <w:tc>
          <w:tcPr>
            <w:tcW w:w="1984" w:type="dxa"/>
            <w:gridSpan w:val="5"/>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有效提高</w:t>
            </w:r>
          </w:p>
        </w:tc>
        <w:tc>
          <w:tcPr>
            <w:tcW w:w="127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明显提高</w:t>
            </w:r>
          </w:p>
        </w:tc>
      </w:tr>
      <w:tr>
        <w:tblPrEx>
          <w:tblCellMar>
            <w:top w:w="0" w:type="dxa"/>
            <w:left w:w="108" w:type="dxa"/>
            <w:bottom w:w="0" w:type="dxa"/>
            <w:right w:w="108" w:type="dxa"/>
          </w:tblCellMar>
        </w:tblPrEx>
        <w:trPr>
          <w:gridAfter w:val="1"/>
          <w:wAfter w:w="1840" w:type="dxa"/>
          <w:trHeight w:val="285" w:hRule="atLeast"/>
        </w:trPr>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01"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1333" w:type="dxa"/>
            <w:gridSpan w:val="3"/>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满意度指标</w:t>
            </w:r>
          </w:p>
        </w:tc>
        <w:tc>
          <w:tcPr>
            <w:tcW w:w="2410" w:type="dxa"/>
            <w:gridSpan w:val="5"/>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指标1：干部职工满意度</w:t>
            </w:r>
          </w:p>
        </w:tc>
        <w:tc>
          <w:tcPr>
            <w:tcW w:w="1984" w:type="dxa"/>
            <w:gridSpan w:val="5"/>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≥95%</w:t>
            </w:r>
          </w:p>
        </w:tc>
        <w:tc>
          <w:tcPr>
            <w:tcW w:w="127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9</w:t>
            </w:r>
            <w:r>
              <w:rPr>
                <w:rFonts w:hint="eastAsia" w:ascii="宋体" w:hAnsi="宋体" w:eastAsia="宋体" w:cs="宋体"/>
                <w:color w:val="000000"/>
                <w:kern w:val="0"/>
                <w:sz w:val="22"/>
                <w:szCs w:val="22"/>
                <w:lang w:val="en-US" w:eastAsia="zh-CN"/>
              </w:rPr>
              <w:t>5</w:t>
            </w:r>
            <w:r>
              <w:rPr>
                <w:rFonts w:hint="eastAsia" w:ascii="宋体" w:hAnsi="宋体" w:eastAsia="宋体" w:cs="宋体"/>
                <w:color w:val="000000"/>
                <w:kern w:val="0"/>
                <w:sz w:val="22"/>
                <w:szCs w:val="22"/>
              </w:rPr>
              <w:t>%　</w:t>
            </w:r>
          </w:p>
        </w:tc>
      </w:tr>
    </w:tbl>
    <w:p>
      <w:pPr>
        <w:rPr>
          <w:rFonts w:ascii="仿宋" w:hAnsi="仿宋" w:eastAsia="仿宋" w:cs="宋体"/>
          <w:color w:val="333333"/>
          <w:sz w:val="32"/>
          <w:szCs w:val="32"/>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12 -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732F3"/>
    <w:multiLevelType w:val="singleLevel"/>
    <w:tmpl w:val="870732F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I1MDZlYmI5MDk0MTg0NGQ5YjU3MzZhZWMwZGE3NjIifQ=="/>
  </w:docVars>
  <w:rsids>
    <w:rsidRoot w:val="00633862"/>
    <w:rsid w:val="00025A44"/>
    <w:rsid w:val="00072084"/>
    <w:rsid w:val="0009422A"/>
    <w:rsid w:val="000B6B13"/>
    <w:rsid w:val="000D1DEE"/>
    <w:rsid w:val="000D3AFA"/>
    <w:rsid w:val="00105D60"/>
    <w:rsid w:val="001121F2"/>
    <w:rsid w:val="00112859"/>
    <w:rsid w:val="001173EB"/>
    <w:rsid w:val="00150C4C"/>
    <w:rsid w:val="00176BC4"/>
    <w:rsid w:val="00191BA3"/>
    <w:rsid w:val="001A2299"/>
    <w:rsid w:val="001A3A0E"/>
    <w:rsid w:val="001C6ED0"/>
    <w:rsid w:val="001D3186"/>
    <w:rsid w:val="001E1528"/>
    <w:rsid w:val="001F630E"/>
    <w:rsid w:val="0022744B"/>
    <w:rsid w:val="00234372"/>
    <w:rsid w:val="00234B37"/>
    <w:rsid w:val="00246941"/>
    <w:rsid w:val="002764C7"/>
    <w:rsid w:val="002D075E"/>
    <w:rsid w:val="00303A08"/>
    <w:rsid w:val="003226C4"/>
    <w:rsid w:val="00397BD6"/>
    <w:rsid w:val="003A56F6"/>
    <w:rsid w:val="003E3DEF"/>
    <w:rsid w:val="003E7C70"/>
    <w:rsid w:val="0049337C"/>
    <w:rsid w:val="004C4C4D"/>
    <w:rsid w:val="004C6FF3"/>
    <w:rsid w:val="004E69F5"/>
    <w:rsid w:val="004E7AAC"/>
    <w:rsid w:val="00531A31"/>
    <w:rsid w:val="00533C6C"/>
    <w:rsid w:val="00593943"/>
    <w:rsid w:val="005A08A8"/>
    <w:rsid w:val="005B1250"/>
    <w:rsid w:val="005C33CE"/>
    <w:rsid w:val="005F1313"/>
    <w:rsid w:val="006225D7"/>
    <w:rsid w:val="00633862"/>
    <w:rsid w:val="00635075"/>
    <w:rsid w:val="006379B7"/>
    <w:rsid w:val="00637FF0"/>
    <w:rsid w:val="006413B6"/>
    <w:rsid w:val="006910A7"/>
    <w:rsid w:val="00691310"/>
    <w:rsid w:val="006A7181"/>
    <w:rsid w:val="006C5BED"/>
    <w:rsid w:val="006D3947"/>
    <w:rsid w:val="00702D4A"/>
    <w:rsid w:val="007115C8"/>
    <w:rsid w:val="00713ADC"/>
    <w:rsid w:val="00725B9A"/>
    <w:rsid w:val="00754721"/>
    <w:rsid w:val="007713F8"/>
    <w:rsid w:val="00790D0D"/>
    <w:rsid w:val="007A7491"/>
    <w:rsid w:val="007A7874"/>
    <w:rsid w:val="00800784"/>
    <w:rsid w:val="00817432"/>
    <w:rsid w:val="008614D8"/>
    <w:rsid w:val="00867D04"/>
    <w:rsid w:val="00875327"/>
    <w:rsid w:val="00886879"/>
    <w:rsid w:val="00890FC2"/>
    <w:rsid w:val="008C07B6"/>
    <w:rsid w:val="008E3F8A"/>
    <w:rsid w:val="008F604D"/>
    <w:rsid w:val="00923468"/>
    <w:rsid w:val="00927740"/>
    <w:rsid w:val="009430F7"/>
    <w:rsid w:val="00952782"/>
    <w:rsid w:val="0095580D"/>
    <w:rsid w:val="0097614B"/>
    <w:rsid w:val="00992D45"/>
    <w:rsid w:val="009A1625"/>
    <w:rsid w:val="009E5FF8"/>
    <w:rsid w:val="009F06F4"/>
    <w:rsid w:val="00A05135"/>
    <w:rsid w:val="00A43D21"/>
    <w:rsid w:val="00A4520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C070F"/>
    <w:rsid w:val="00DD223C"/>
    <w:rsid w:val="00E213C7"/>
    <w:rsid w:val="00E41A31"/>
    <w:rsid w:val="00E7188B"/>
    <w:rsid w:val="00ED4BC5"/>
    <w:rsid w:val="00F006BD"/>
    <w:rsid w:val="00F17550"/>
    <w:rsid w:val="00F27120"/>
    <w:rsid w:val="00F341E0"/>
    <w:rsid w:val="00F36401"/>
    <w:rsid w:val="00F42445"/>
    <w:rsid w:val="00F44FCC"/>
    <w:rsid w:val="00F74974"/>
    <w:rsid w:val="00F829DE"/>
    <w:rsid w:val="00F84215"/>
    <w:rsid w:val="00F91CBB"/>
    <w:rsid w:val="063F3FE8"/>
    <w:rsid w:val="08946F08"/>
    <w:rsid w:val="0E2237ED"/>
    <w:rsid w:val="0E9A5E97"/>
    <w:rsid w:val="171359C3"/>
    <w:rsid w:val="18FB66E5"/>
    <w:rsid w:val="1EB60E4D"/>
    <w:rsid w:val="1EEE23D8"/>
    <w:rsid w:val="32C3481C"/>
    <w:rsid w:val="3911357E"/>
    <w:rsid w:val="3AB9753A"/>
    <w:rsid w:val="54A61583"/>
    <w:rsid w:val="54FF6FBA"/>
    <w:rsid w:val="674938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ascii="Calibri" w:hAnsi="Calibri" w:eastAsia="宋体" w:cs="Times New Roman"/>
      <w:color w:val="000000"/>
      <w:kern w:val="0"/>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rPr>
  </w:style>
  <w:style w:type="character" w:customStyle="1" w:styleId="18">
    <w:name w:val="页眉 Char"/>
    <w:basedOn w:val="15"/>
    <w:link w:val="8"/>
    <w:qFormat/>
    <w:uiPriority w:val="99"/>
    <w:rPr>
      <w:sz w:val="18"/>
      <w:szCs w:val="18"/>
    </w:rPr>
  </w:style>
  <w:style w:type="character" w:customStyle="1" w:styleId="19">
    <w:name w:val="页脚 Char"/>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Char"/>
    <w:basedOn w:val="15"/>
    <w:link w:val="13"/>
    <w:qFormat/>
    <w:uiPriority w:val="10"/>
    <w:rPr>
      <w:rFonts w:asciiTheme="majorHAnsi" w:hAnsiTheme="majorHAnsi" w:eastAsiaTheme="majorEastAsia" w:cstheme="majorBidi"/>
      <w:b/>
      <w:bCs/>
      <w:sz w:val="32"/>
      <w:szCs w:val="32"/>
    </w:rPr>
  </w:style>
  <w:style w:type="character" w:customStyle="1" w:styleId="22">
    <w:name w:val="标题 2 Char"/>
    <w:basedOn w:val="15"/>
    <w:link w:val="3"/>
    <w:qFormat/>
    <w:uiPriority w:val="9"/>
    <w:rPr>
      <w:rFonts w:asciiTheme="majorHAnsi" w:hAnsiTheme="majorHAnsi" w:eastAsiaTheme="majorEastAsia" w:cstheme="majorBidi"/>
      <w:b/>
      <w:bCs/>
      <w:sz w:val="32"/>
      <w:szCs w:val="32"/>
    </w:rPr>
  </w:style>
  <w:style w:type="character" w:customStyle="1" w:styleId="23">
    <w:name w:val="副标题 Char"/>
    <w:basedOn w:val="15"/>
    <w:link w:val="10"/>
    <w:qFormat/>
    <w:uiPriority w:val="11"/>
    <w:rPr>
      <w:b/>
      <w:bCs/>
      <w:kern w:val="28"/>
      <w:sz w:val="32"/>
      <w:szCs w:val="32"/>
    </w:rPr>
  </w:style>
  <w:style w:type="character" w:customStyle="1" w:styleId="24">
    <w:name w:val="标题 3 Char"/>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Char"/>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 w:type="character" w:customStyle="1" w:styleId="28">
    <w:name w:val="标题 4 Char"/>
    <w:basedOn w:val="15"/>
    <w:link w:val="5"/>
    <w:qFormat/>
    <w:uiPriority w:val="9"/>
    <w:rPr>
      <w:rFonts w:asciiTheme="majorHAnsi" w:hAnsiTheme="majorHAnsi" w:eastAsiaTheme="majorEastAsia" w:cstheme="majorBidi"/>
      <w:b/>
      <w:bCs/>
      <w:sz w:val="28"/>
      <w:szCs w:val="28"/>
    </w:rPr>
  </w:style>
  <w:style w:type="paragraph" w:customStyle="1" w:styleId="29">
    <w:name w:val="闻政-正文段落文字"/>
    <w:basedOn w:val="1"/>
    <w:qFormat/>
    <w:uiPriority w:val="3"/>
    <w:pPr>
      <w:spacing w:line="500" w:lineRule="exact"/>
      <w:ind w:firstLine="200"/>
    </w:pPr>
    <w:rPr>
      <w:rFonts w:ascii="Times New Roman" w:hAnsi="Times New Roman" w:eastAsia="宋体" w:cs="Times New Roman"/>
      <w:color w:val="000000"/>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18</Pages>
  <Words>7051</Words>
  <Characters>7646</Characters>
  <Lines>77</Lines>
  <Paragraphs>21</Paragraphs>
  <TotalTime>38</TotalTime>
  <ScaleCrop>false</ScaleCrop>
  <LinksUpToDate>false</LinksUpToDate>
  <CharactersWithSpaces>7696</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A.X</cp:lastModifiedBy>
  <dcterms:modified xsi:type="dcterms:W3CDTF">2022-05-25T09:10:02Z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1E00B23A39ED470D8EAF0AB35FEA7E67</vt:lpwstr>
  </property>
</Properties>
</file>